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D65323" w:rsidRPr="0033427E" w14:paraId="059B8B2D" w14:textId="77777777" w:rsidTr="00945888">
        <w:tc>
          <w:tcPr>
            <w:tcW w:w="1980" w:type="dxa"/>
          </w:tcPr>
          <w:p w14:paraId="502F676A" w14:textId="77777777" w:rsidR="00D65323" w:rsidRPr="0033427E" w:rsidRDefault="00D65323" w:rsidP="0094588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27E">
              <w:rPr>
                <w:rFonts w:ascii="Arial" w:eastAsia="Calibri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2413" w:type="dxa"/>
          </w:tcPr>
          <w:p w14:paraId="459F26AD" w14:textId="77777777" w:rsidR="00D65323" w:rsidRPr="0033427E" w:rsidRDefault="00D65323" w:rsidP="0094588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27E">
              <w:rPr>
                <w:rFonts w:ascii="Arial" w:eastAsia="Calibri" w:hAnsi="Arial" w:cs="Arial"/>
                <w:b/>
                <w:sz w:val="18"/>
                <w:szCs w:val="18"/>
              </w:rPr>
              <w:t>PRESIDENCIA</w:t>
            </w:r>
          </w:p>
        </w:tc>
      </w:tr>
      <w:tr w:rsidR="00D65323" w:rsidRPr="0033427E" w14:paraId="2894D94A" w14:textId="77777777" w:rsidTr="00945888">
        <w:tc>
          <w:tcPr>
            <w:tcW w:w="1980" w:type="dxa"/>
          </w:tcPr>
          <w:p w14:paraId="3B36E609" w14:textId="77777777" w:rsidR="00D65323" w:rsidRPr="0033427E" w:rsidRDefault="00D65323" w:rsidP="0094588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27E">
              <w:rPr>
                <w:rFonts w:ascii="Arial" w:eastAsia="Calibri" w:hAnsi="Arial" w:cs="Arial"/>
                <w:b/>
                <w:sz w:val="18"/>
                <w:szCs w:val="18"/>
              </w:rPr>
              <w:t>NO. DE OFICIO:</w:t>
            </w:r>
          </w:p>
        </w:tc>
        <w:tc>
          <w:tcPr>
            <w:tcW w:w="2413" w:type="dxa"/>
          </w:tcPr>
          <w:p w14:paraId="4423B2F2" w14:textId="34DD06A7" w:rsidR="00D65323" w:rsidRPr="0033427E" w:rsidRDefault="00D65323" w:rsidP="0094588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27E">
              <w:rPr>
                <w:rFonts w:ascii="Arial" w:eastAsia="Calibri" w:hAnsi="Arial" w:cs="Arial"/>
                <w:b/>
                <w:sz w:val="18"/>
                <w:szCs w:val="18"/>
              </w:rPr>
              <w:t>12</w:t>
            </w:r>
            <w:r w:rsidR="00D577C6">
              <w:rPr>
                <w:rFonts w:ascii="Arial" w:eastAsia="Calibri" w:hAnsi="Arial" w:cs="Arial"/>
                <w:b/>
                <w:sz w:val="18"/>
                <w:szCs w:val="18"/>
              </w:rPr>
              <w:t>67</w:t>
            </w:r>
            <w:r w:rsidRPr="0033427E">
              <w:rPr>
                <w:rFonts w:ascii="Arial" w:eastAsia="Calibri" w:hAnsi="Arial" w:cs="Arial"/>
                <w:b/>
                <w:sz w:val="18"/>
                <w:szCs w:val="18"/>
              </w:rPr>
              <w:t>/2025</w:t>
            </w:r>
          </w:p>
        </w:tc>
      </w:tr>
      <w:tr w:rsidR="00D65323" w:rsidRPr="0033427E" w14:paraId="10F839E5" w14:textId="77777777" w:rsidTr="00945888">
        <w:tc>
          <w:tcPr>
            <w:tcW w:w="1980" w:type="dxa"/>
          </w:tcPr>
          <w:p w14:paraId="7160AA85" w14:textId="77777777" w:rsidR="00D65323" w:rsidRPr="0033427E" w:rsidRDefault="00D65323" w:rsidP="0094588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27E">
              <w:rPr>
                <w:rFonts w:ascii="Arial" w:eastAsia="Calibri" w:hAnsi="Arial" w:cs="Arial"/>
                <w:b/>
                <w:sz w:val="18"/>
                <w:szCs w:val="18"/>
              </w:rPr>
              <w:t>ASUNTO:</w:t>
            </w:r>
          </w:p>
        </w:tc>
        <w:tc>
          <w:tcPr>
            <w:tcW w:w="2413" w:type="dxa"/>
          </w:tcPr>
          <w:p w14:paraId="247AAAD4" w14:textId="77777777" w:rsidR="00D65323" w:rsidRPr="0033427E" w:rsidRDefault="00D65323" w:rsidP="00945888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SE CONVOCA</w:t>
            </w:r>
          </w:p>
        </w:tc>
      </w:tr>
    </w:tbl>
    <w:p w14:paraId="1DD1C67B" w14:textId="77777777" w:rsidR="00D65323" w:rsidRDefault="00D65323" w:rsidP="00D65323">
      <w:pPr>
        <w:spacing w:line="276" w:lineRule="auto"/>
        <w:rPr>
          <w:rFonts w:eastAsia="Calibri" w:cstheme="minorHAnsi"/>
          <w:b/>
        </w:rPr>
      </w:pPr>
    </w:p>
    <w:p w14:paraId="13B830AE" w14:textId="77777777" w:rsidR="00D65323" w:rsidRDefault="00D65323" w:rsidP="00D65323">
      <w:pPr>
        <w:spacing w:line="276" w:lineRule="auto"/>
        <w:rPr>
          <w:rFonts w:eastAsia="Calibri" w:cstheme="minorHAnsi"/>
          <w:b/>
        </w:rPr>
      </w:pPr>
    </w:p>
    <w:p w14:paraId="1C304E71" w14:textId="77777777" w:rsidR="00D65323" w:rsidRDefault="00D65323" w:rsidP="00D65323">
      <w:pPr>
        <w:rPr>
          <w:rFonts w:eastAsia="Calibri" w:cstheme="minorHAnsi"/>
          <w:b/>
        </w:rPr>
      </w:pPr>
    </w:p>
    <w:p w14:paraId="043E069E" w14:textId="77777777" w:rsidR="00D65323" w:rsidRDefault="00D65323" w:rsidP="00D65323">
      <w:pPr>
        <w:rPr>
          <w:rFonts w:eastAsia="Calibri" w:cstheme="minorHAnsi"/>
          <w:b/>
        </w:rPr>
      </w:pPr>
    </w:p>
    <w:p w14:paraId="5A908C66" w14:textId="77777777" w:rsidR="00D65323" w:rsidRDefault="00D65323" w:rsidP="00D6532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BERTHA SILVIA GOMEZ RAMOS</w:t>
      </w:r>
    </w:p>
    <w:p w14:paraId="76671D50" w14:textId="77777777" w:rsidR="00D65323" w:rsidRPr="00AB58ED" w:rsidRDefault="00D65323" w:rsidP="00D6532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MIGUEL MARENTES</w:t>
      </w:r>
    </w:p>
    <w:p w14:paraId="6CDC745B" w14:textId="77777777" w:rsidR="00D65323" w:rsidRDefault="00D65323" w:rsidP="00D6532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REGIDORES DE LA </w:t>
      </w:r>
      <w:r w:rsidRPr="00B852F7">
        <w:rPr>
          <w:rFonts w:ascii="Arial Narrow" w:eastAsia="Calibri" w:hAnsi="Arial Narrow" w:cs="Arial"/>
          <w:b/>
        </w:rPr>
        <w:t xml:space="preserve">COMISIÓN EDILICIA PERMANENTE DE OBRAS PÚBLICAS, PLANEACIÓN URBANA Y REGULARIZACIÓN DE LA TENENCIA DE LA TIERRA. </w:t>
      </w:r>
    </w:p>
    <w:p w14:paraId="6068AF48" w14:textId="77777777" w:rsidR="00D65323" w:rsidRPr="00AB58ED" w:rsidRDefault="00D65323" w:rsidP="00D6532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2B195079" w14:textId="77777777" w:rsidR="00D65323" w:rsidRDefault="00D65323" w:rsidP="00D65323">
      <w:pPr>
        <w:rPr>
          <w:rFonts w:ascii="Arial" w:eastAsia="Calibri" w:hAnsi="Arial" w:cs="Arial"/>
          <w:b/>
        </w:rPr>
      </w:pPr>
    </w:p>
    <w:p w14:paraId="0530FA57" w14:textId="77777777" w:rsidR="00D65323" w:rsidRPr="00AB58ED" w:rsidRDefault="00D65323" w:rsidP="00D65323">
      <w:pPr>
        <w:rPr>
          <w:rFonts w:ascii="Arial" w:eastAsia="Calibri" w:hAnsi="Arial" w:cs="Arial"/>
          <w:b/>
        </w:rPr>
      </w:pPr>
    </w:p>
    <w:p w14:paraId="4300A0EA" w14:textId="3CB9348B" w:rsidR="00D65323" w:rsidRDefault="00D65323" w:rsidP="00D65323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="00D577C6" w:rsidRPr="00D577C6">
        <w:rPr>
          <w:rFonts w:ascii="Arial" w:hAnsi="Arial" w:cs="Arial"/>
          <w:b/>
          <w:bCs/>
          <w:sz w:val="24"/>
          <w:szCs w:val="24"/>
        </w:rPr>
        <w:t>Vigésima</w:t>
      </w:r>
      <w:r w:rsidR="00D577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Sesión Extrao</w:t>
      </w:r>
      <w:r w:rsidRPr="00AC2FF1">
        <w:rPr>
          <w:rFonts w:ascii="Arial" w:hAnsi="Arial" w:cs="Arial"/>
          <w:b/>
          <w:sz w:val="24"/>
          <w:szCs w:val="24"/>
        </w:rPr>
        <w:t xml:space="preserve">rdinaria </w:t>
      </w:r>
      <w:r w:rsidRPr="00AB58ED">
        <w:rPr>
          <w:rFonts w:ascii="Arial" w:hAnsi="Arial" w:cs="Arial"/>
          <w:sz w:val="24"/>
          <w:szCs w:val="24"/>
        </w:rPr>
        <w:t xml:space="preserve">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Obras Públicas, Planeación Urbana y Regularización de la Tenencia de la Tierra,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</w:t>
      </w:r>
      <w:r>
        <w:rPr>
          <w:rFonts w:ascii="Arial" w:hAnsi="Arial" w:cs="Arial"/>
          <w:sz w:val="24"/>
          <w:szCs w:val="24"/>
        </w:rPr>
        <w:t xml:space="preserve"> artículos</w:t>
      </w:r>
      <w:r w:rsidRPr="00AB58ED">
        <w:rPr>
          <w:rFonts w:ascii="Arial" w:hAnsi="Arial" w:cs="Arial"/>
          <w:sz w:val="24"/>
          <w:szCs w:val="24"/>
        </w:rPr>
        <w:t xml:space="preserve"> 40, 48 y 6</w:t>
      </w:r>
      <w:r>
        <w:rPr>
          <w:rFonts w:ascii="Arial" w:hAnsi="Arial" w:cs="Arial"/>
          <w:sz w:val="24"/>
          <w:szCs w:val="24"/>
        </w:rPr>
        <w:t xml:space="preserve">4 </w:t>
      </w:r>
      <w:r w:rsidRPr="00AB58ED">
        <w:rPr>
          <w:rFonts w:ascii="Arial" w:hAnsi="Arial" w:cs="Arial"/>
          <w:sz w:val="24"/>
          <w:szCs w:val="24"/>
        </w:rPr>
        <w:t xml:space="preserve">del Reglamento Interior del Ayuntamiento de Zapotlán el Grande, la cual se llevará a cabo el día </w:t>
      </w:r>
      <w:r w:rsidRPr="006C00A6">
        <w:rPr>
          <w:rFonts w:ascii="Arial" w:hAnsi="Arial" w:cs="Arial"/>
          <w:b/>
          <w:bCs/>
          <w:sz w:val="24"/>
          <w:szCs w:val="24"/>
        </w:rPr>
        <w:t>0</w:t>
      </w:r>
      <w:r w:rsidR="00D577C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de diciembre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</w:t>
      </w:r>
      <w:r>
        <w:rPr>
          <w:rFonts w:ascii="Arial" w:hAnsi="Arial" w:cs="Arial"/>
          <w:b/>
          <w:sz w:val="24"/>
          <w:szCs w:val="24"/>
        </w:rPr>
        <w:t xml:space="preserve">a las </w:t>
      </w:r>
      <w:r w:rsidR="00D577C6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 xml:space="preserve">:00 horas </w:t>
      </w:r>
      <w:r w:rsidRPr="00AB58ED">
        <w:rPr>
          <w:rFonts w:ascii="Arial" w:hAnsi="Arial" w:cs="Arial"/>
          <w:sz w:val="24"/>
          <w:szCs w:val="24"/>
        </w:rPr>
        <w:t xml:space="preserve">en el lugar que ocupa </w:t>
      </w:r>
      <w:r>
        <w:rPr>
          <w:rFonts w:ascii="Arial" w:hAnsi="Arial" w:cs="Arial"/>
          <w:sz w:val="24"/>
          <w:szCs w:val="24"/>
        </w:rPr>
        <w:t>la oficina de Presidencia</w:t>
      </w:r>
      <w:r w:rsidRPr="00AB58ED">
        <w:rPr>
          <w:rFonts w:ascii="Arial" w:hAnsi="Arial" w:cs="Arial"/>
          <w:sz w:val="24"/>
          <w:szCs w:val="24"/>
        </w:rPr>
        <w:t xml:space="preserve">, misma que se ubica la planta </w:t>
      </w:r>
      <w:r>
        <w:rPr>
          <w:rFonts w:ascii="Arial" w:hAnsi="Arial" w:cs="Arial"/>
          <w:sz w:val="24"/>
          <w:szCs w:val="24"/>
        </w:rPr>
        <w:t>baja</w:t>
      </w:r>
      <w:r w:rsidRPr="00AB58ED">
        <w:rPr>
          <w:rFonts w:ascii="Arial" w:hAnsi="Arial" w:cs="Arial"/>
          <w:sz w:val="24"/>
          <w:szCs w:val="24"/>
        </w:rPr>
        <w:t xml:space="preserve">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:  </w:t>
      </w:r>
    </w:p>
    <w:p w14:paraId="0A2A0B86" w14:textId="77777777" w:rsidR="00D65323" w:rsidRDefault="00D65323" w:rsidP="00D65323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08D758" w14:textId="77777777" w:rsidR="00D65323" w:rsidRPr="00B852F7" w:rsidRDefault="00D65323" w:rsidP="00D65323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52F7">
        <w:rPr>
          <w:rFonts w:ascii="Arial" w:hAnsi="Arial" w:cs="Arial"/>
          <w:b/>
          <w:sz w:val="24"/>
          <w:szCs w:val="24"/>
        </w:rPr>
        <w:t>ORDEN DEL DÍA:</w:t>
      </w:r>
    </w:p>
    <w:p w14:paraId="1039FF46" w14:textId="77777777" w:rsidR="00D65323" w:rsidRDefault="00D65323" w:rsidP="00D653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02CBAA" w14:textId="77777777" w:rsidR="00D65323" w:rsidRPr="000F2498" w:rsidRDefault="00D65323" w:rsidP="00D65323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Primero:</w:t>
      </w:r>
      <w:r w:rsidRPr="000F2498">
        <w:rPr>
          <w:rFonts w:ascii="Arial" w:hAnsi="Arial" w:cs="Arial"/>
          <w:sz w:val="24"/>
          <w:szCs w:val="24"/>
        </w:rPr>
        <w:t xml:space="preserve"> Lista de asistencia y declaratoria de quorum.</w:t>
      </w:r>
    </w:p>
    <w:p w14:paraId="324C0B2E" w14:textId="77777777" w:rsidR="00D65323" w:rsidRPr="000F2498" w:rsidRDefault="00D65323" w:rsidP="00D65323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Segundo:</w:t>
      </w:r>
      <w:r w:rsidRPr="000F2498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A55B60F" w14:textId="2F82FA53" w:rsidR="00D65323" w:rsidRDefault="00D65323" w:rsidP="00D65323">
      <w:pPr>
        <w:pStyle w:val="Sinespaciado"/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</w:t>
      </w:r>
      <w:r>
        <w:rPr>
          <w:rFonts w:ascii="Arial" w:hAnsi="Arial" w:cs="Arial"/>
          <w:bCs/>
          <w:sz w:val="24"/>
          <w:szCs w:val="24"/>
        </w:rPr>
        <w:t>5</w:t>
      </w:r>
      <w:r w:rsidR="00D577C6">
        <w:rPr>
          <w:rFonts w:ascii="Arial" w:hAnsi="Arial" w:cs="Arial"/>
          <w:bCs/>
          <w:sz w:val="24"/>
          <w:szCs w:val="24"/>
        </w:rPr>
        <w:t>79</w:t>
      </w:r>
      <w:r w:rsidRPr="009772E8">
        <w:rPr>
          <w:rFonts w:ascii="Arial" w:hAnsi="Arial" w:cs="Arial"/>
          <w:bCs/>
          <w:sz w:val="24"/>
          <w:szCs w:val="24"/>
        </w:rPr>
        <w:t xml:space="preserve">/2025, por esta Comisión </w:t>
      </w:r>
      <w:proofErr w:type="gramStart"/>
      <w:r w:rsidRPr="009772E8">
        <w:rPr>
          <w:rFonts w:ascii="Arial" w:hAnsi="Arial" w:cs="Arial"/>
          <w:bCs/>
          <w:sz w:val="24"/>
          <w:szCs w:val="24"/>
        </w:rPr>
        <w:t>Edilicia</w:t>
      </w:r>
      <w:proofErr w:type="gramEnd"/>
      <w:r w:rsidRPr="009772E8">
        <w:rPr>
          <w:rFonts w:ascii="Arial" w:hAnsi="Arial" w:cs="Arial"/>
          <w:bCs/>
          <w:sz w:val="24"/>
          <w:szCs w:val="24"/>
        </w:rPr>
        <w:t xml:space="preserve"> Permanente de Obras Públicas, Planeación Urbana y Regularización de la Tenencia de la Tierra, respecto de</w:t>
      </w:r>
      <w:r>
        <w:rPr>
          <w:rFonts w:ascii="Arial" w:hAnsi="Arial" w:cs="Arial"/>
          <w:bCs/>
          <w:sz w:val="24"/>
          <w:szCs w:val="24"/>
        </w:rPr>
        <w:t xml:space="preserve">: </w:t>
      </w:r>
    </w:p>
    <w:p w14:paraId="353628D4" w14:textId="77777777" w:rsidR="00D65323" w:rsidRPr="006C00A6" w:rsidRDefault="00D65323" w:rsidP="00D65323">
      <w:pPr>
        <w:pStyle w:val="Sinespaciado"/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00A6">
        <w:rPr>
          <w:rFonts w:ascii="Arial" w:hAnsi="Arial" w:cs="Arial"/>
          <w:b/>
          <w:sz w:val="24"/>
          <w:szCs w:val="24"/>
        </w:rPr>
        <w:t>Techos Financieros de la obra proveniente de Recurs</w:t>
      </w:r>
      <w:r>
        <w:rPr>
          <w:rFonts w:ascii="Arial" w:hAnsi="Arial" w:cs="Arial"/>
          <w:b/>
          <w:sz w:val="24"/>
          <w:szCs w:val="24"/>
        </w:rPr>
        <w:t>o Federal FORTAMUN</w:t>
      </w:r>
      <w:r w:rsidRPr="006C00A6">
        <w:rPr>
          <w:rFonts w:ascii="Arial" w:hAnsi="Arial" w:cs="Arial"/>
          <w:b/>
          <w:sz w:val="24"/>
          <w:szCs w:val="24"/>
        </w:rPr>
        <w:t>:</w:t>
      </w:r>
    </w:p>
    <w:p w14:paraId="79C91C83" w14:textId="77777777" w:rsidR="00D65323" w:rsidRPr="006C00A6" w:rsidRDefault="00D65323" w:rsidP="00D65323">
      <w:pPr>
        <w:pStyle w:val="Sinespaciado"/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  <w:r w:rsidRPr="006C00A6">
        <w:rPr>
          <w:rFonts w:ascii="Arial" w:hAnsi="Arial" w:cs="Arial"/>
          <w:b/>
          <w:bCs/>
          <w:sz w:val="18"/>
          <w:szCs w:val="18"/>
        </w:rPr>
        <w:t xml:space="preserve">1.-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D65323" w:rsidRPr="006C00A6" w14:paraId="60D3D9E5" w14:textId="77777777" w:rsidTr="00945888">
        <w:tc>
          <w:tcPr>
            <w:tcW w:w="2122" w:type="dxa"/>
          </w:tcPr>
          <w:p w14:paraId="3357C314" w14:textId="77777777" w:rsidR="00D65323" w:rsidRPr="006C00A6" w:rsidRDefault="00D65323" w:rsidP="00945888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7507" w:type="dxa"/>
          </w:tcPr>
          <w:p w14:paraId="48E3A8E9" w14:textId="78F43C3E" w:rsidR="00D65323" w:rsidRPr="006C00A6" w:rsidRDefault="00D65323" w:rsidP="00945888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D577C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 w:rsidR="00D577C6"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COLONIA CENTRO EN CIUDAD GUZMÁN, MUNICIPIO DE ZAPOTLÁN EL GRANDE, JALISCO. </w:t>
            </w:r>
          </w:p>
        </w:tc>
      </w:tr>
      <w:tr w:rsidR="00D65323" w:rsidRPr="006C00A6" w14:paraId="5AA12E51" w14:textId="77777777" w:rsidTr="00945888">
        <w:tc>
          <w:tcPr>
            <w:tcW w:w="2122" w:type="dxa"/>
          </w:tcPr>
          <w:p w14:paraId="3A5B0B92" w14:textId="77777777" w:rsidR="00D65323" w:rsidRPr="006C00A6" w:rsidRDefault="00D65323" w:rsidP="00945888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MONTO </w:t>
            </w:r>
          </w:p>
        </w:tc>
        <w:tc>
          <w:tcPr>
            <w:tcW w:w="7507" w:type="dxa"/>
          </w:tcPr>
          <w:p w14:paraId="51D7B0A9" w14:textId="418A7D43" w:rsidR="00D65323" w:rsidRPr="006C00A6" w:rsidRDefault="00D65323" w:rsidP="00945888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="00D577C6">
              <w:rPr>
                <w:rFonts w:ascii="Arial" w:hAnsi="Arial" w:cs="Arial"/>
                <w:b/>
                <w:bCs/>
                <w:sz w:val="18"/>
                <w:szCs w:val="18"/>
              </w:rPr>
              <w:t>1,441,889.19</w:t>
            </w: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.91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577C6">
              <w:rPr>
                <w:rFonts w:ascii="Arial" w:hAnsi="Arial" w:cs="Arial"/>
                <w:sz w:val="18"/>
                <w:szCs w:val="18"/>
              </w:rPr>
              <w:t>UN MILLÓN CUATROCIENTOS CUARENTA Y UN MIL OCHOCIENTOS OCHENTA Y NUEVE PESOS 19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/100 M. N. </w:t>
            </w:r>
          </w:p>
        </w:tc>
      </w:tr>
    </w:tbl>
    <w:p w14:paraId="747ABAFB" w14:textId="77777777" w:rsidR="00D65323" w:rsidRPr="009772E8" w:rsidRDefault="00D65323" w:rsidP="00D65323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C929C2" w14:textId="77777777" w:rsidR="00D65323" w:rsidRDefault="00D65323" w:rsidP="00D65323">
      <w:pPr>
        <w:pStyle w:val="Sinespaciado"/>
        <w:rPr>
          <w:rFonts w:ascii="Arial" w:hAnsi="Arial" w:cs="Arial"/>
          <w:sz w:val="24"/>
          <w:szCs w:val="24"/>
        </w:rPr>
      </w:pPr>
    </w:p>
    <w:p w14:paraId="3453A1D0" w14:textId="77777777" w:rsidR="00D65323" w:rsidRPr="00427B07" w:rsidRDefault="00D65323" w:rsidP="00D65323">
      <w:pPr>
        <w:pStyle w:val="Sinespaciado"/>
        <w:rPr>
          <w:rFonts w:ascii="Arial" w:hAnsi="Arial" w:cs="Arial"/>
          <w:sz w:val="24"/>
          <w:szCs w:val="24"/>
        </w:rPr>
      </w:pPr>
    </w:p>
    <w:p w14:paraId="07737418" w14:textId="77777777" w:rsidR="00D65323" w:rsidRPr="00427B07" w:rsidRDefault="00D65323" w:rsidP="00D65323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33973CA" w14:textId="77777777" w:rsidR="00D65323" w:rsidRDefault="00D65323" w:rsidP="00D65323">
      <w:pPr>
        <w:jc w:val="both"/>
        <w:rPr>
          <w:rFonts w:ascii="Arial" w:eastAsia="Calibri" w:hAnsi="Arial" w:cs="Arial"/>
        </w:rPr>
      </w:pPr>
    </w:p>
    <w:p w14:paraId="7E1BF9A0" w14:textId="77777777" w:rsidR="00D65323" w:rsidRDefault="00D65323" w:rsidP="00D65323">
      <w:pPr>
        <w:jc w:val="both"/>
        <w:rPr>
          <w:rFonts w:ascii="Arial" w:eastAsia="Calibri" w:hAnsi="Arial" w:cs="Arial"/>
        </w:rPr>
      </w:pPr>
    </w:p>
    <w:p w14:paraId="12446909" w14:textId="77777777" w:rsidR="00D65323" w:rsidRDefault="00D65323" w:rsidP="00D65323">
      <w:pPr>
        <w:jc w:val="both"/>
        <w:rPr>
          <w:rFonts w:ascii="Arial" w:eastAsia="Calibri" w:hAnsi="Arial" w:cs="Arial"/>
        </w:rPr>
      </w:pPr>
    </w:p>
    <w:p w14:paraId="657E4620" w14:textId="77777777" w:rsidR="00D65323" w:rsidRDefault="00D65323" w:rsidP="00D65323">
      <w:pPr>
        <w:jc w:val="both"/>
        <w:rPr>
          <w:rFonts w:ascii="Arial" w:eastAsia="Calibri" w:hAnsi="Arial" w:cs="Arial"/>
        </w:rPr>
      </w:pPr>
    </w:p>
    <w:p w14:paraId="38551AE2" w14:textId="77777777" w:rsidR="00D65323" w:rsidRPr="000F2498" w:rsidRDefault="00D65323" w:rsidP="00D65323">
      <w:pPr>
        <w:jc w:val="center"/>
        <w:rPr>
          <w:rFonts w:ascii="Arial" w:eastAsia="Calibri" w:hAnsi="Arial" w:cs="Arial"/>
          <w:b/>
        </w:rPr>
      </w:pPr>
      <w:r w:rsidRPr="000F2498">
        <w:rPr>
          <w:rFonts w:ascii="Arial" w:eastAsia="Calibri" w:hAnsi="Arial" w:cs="Arial"/>
          <w:b/>
        </w:rPr>
        <w:t>ATENTAMENTE</w:t>
      </w:r>
    </w:p>
    <w:p w14:paraId="33F5211A" w14:textId="77777777" w:rsidR="00D65323" w:rsidRDefault="00D65323" w:rsidP="00D65323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5E03A37B" w14:textId="77777777" w:rsidR="00D65323" w:rsidRDefault="00D65323" w:rsidP="00D65323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ZAPOTLÁN”.</w:t>
      </w:r>
    </w:p>
    <w:p w14:paraId="4CA398FF" w14:textId="77777777" w:rsidR="00D65323" w:rsidRPr="00A06AA9" w:rsidRDefault="00D65323" w:rsidP="00D65323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CD. GUZMÁN MUNICIPIO DE ZAPOTLÁN EL GRANDE, </w:t>
      </w:r>
      <w:r>
        <w:rPr>
          <w:rFonts w:ascii="Arial Narrow" w:hAnsi="Arial Narrow" w:cstheme="minorHAnsi"/>
          <w:b/>
          <w:bCs/>
          <w:i/>
          <w:iCs/>
        </w:rPr>
        <w:t>JALISCO.</w:t>
      </w:r>
    </w:p>
    <w:p w14:paraId="3B315D62" w14:textId="77777777" w:rsidR="00D65323" w:rsidRPr="00B852F7" w:rsidRDefault="00D65323" w:rsidP="00D65323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>
        <w:rPr>
          <w:rFonts w:ascii="Arial Narrow" w:hAnsi="Arial Narrow" w:cstheme="minorHAnsi"/>
          <w:b/>
          <w:bCs/>
          <w:i/>
          <w:iCs/>
        </w:rPr>
        <w:t>01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>
        <w:rPr>
          <w:rFonts w:ascii="Arial Narrow" w:hAnsi="Arial Narrow" w:cstheme="minorHAnsi"/>
          <w:b/>
          <w:bCs/>
          <w:i/>
          <w:iCs/>
        </w:rPr>
        <w:t>DICIEMBRE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6FD83DE8" w14:textId="77777777" w:rsidR="00D65323" w:rsidRDefault="00D65323" w:rsidP="00D6532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5CBEE28" w14:textId="77777777" w:rsidR="00D65323" w:rsidRDefault="00D65323" w:rsidP="00D6532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B7C5E8F" w14:textId="77777777" w:rsidR="00D65323" w:rsidRDefault="00D65323" w:rsidP="00D6532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3D444840" w14:textId="77777777" w:rsidR="00D65323" w:rsidRPr="00A06AA9" w:rsidRDefault="00D65323" w:rsidP="00D6532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7F9490D8" w14:textId="77777777" w:rsidR="00D65323" w:rsidRPr="00A06AA9" w:rsidRDefault="00D65323" w:rsidP="00D6532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LIC. MAGALI CASILLAS CONTRERAS</w:t>
      </w:r>
    </w:p>
    <w:p w14:paraId="0185A742" w14:textId="77777777" w:rsidR="00D65323" w:rsidRDefault="00D65323" w:rsidP="00D65323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 xml:space="preserve">PRESIDENTA </w:t>
      </w:r>
      <w:r>
        <w:rPr>
          <w:rFonts w:ascii="Arial Narrow" w:hAnsi="Arial Narrow" w:cstheme="minorHAnsi"/>
          <w:b/>
          <w:sz w:val="22"/>
          <w:szCs w:val="22"/>
          <w:lang w:val="es-ES"/>
        </w:rPr>
        <w:t xml:space="preserve">MUNICIPAL Y </w:t>
      </w:r>
    </w:p>
    <w:p w14:paraId="7F6E3AF5" w14:textId="77777777" w:rsidR="00D65323" w:rsidRDefault="00D65323" w:rsidP="00D65323">
      <w:pPr>
        <w:jc w:val="center"/>
        <w:rPr>
          <w:rFonts w:ascii="Arial Narrow" w:eastAsia="Calibri" w:hAnsi="Arial Narrow" w:cs="Arial"/>
          <w:b/>
        </w:rPr>
      </w:pPr>
      <w:r>
        <w:rPr>
          <w:rFonts w:ascii="Arial Narrow" w:hAnsi="Arial Narrow" w:cstheme="minorHAnsi"/>
          <w:b/>
          <w:sz w:val="22"/>
          <w:szCs w:val="22"/>
          <w:lang w:val="es-ES"/>
        </w:rPr>
        <w:t xml:space="preserve">PRESIDENTA DE </w:t>
      </w:r>
      <w:r w:rsidRPr="00B852F7">
        <w:rPr>
          <w:rFonts w:ascii="Arial Narrow" w:eastAsia="Calibri" w:hAnsi="Arial Narrow" w:cs="Arial"/>
          <w:b/>
        </w:rPr>
        <w:t>COMISIÓN EDILICIA PERMANENTE DE OBRAS PÚBLICAS,</w:t>
      </w:r>
    </w:p>
    <w:p w14:paraId="42D8BABF" w14:textId="77777777" w:rsidR="00D65323" w:rsidRDefault="00D65323" w:rsidP="00D65323">
      <w:pPr>
        <w:jc w:val="center"/>
        <w:rPr>
          <w:rFonts w:ascii="Arial Narrow" w:eastAsia="Calibri" w:hAnsi="Arial Narrow" w:cs="Arial"/>
          <w:b/>
        </w:rPr>
      </w:pPr>
      <w:r w:rsidRPr="00B852F7">
        <w:rPr>
          <w:rFonts w:ascii="Arial Narrow" w:eastAsia="Calibri" w:hAnsi="Arial Narrow" w:cs="Arial"/>
          <w:b/>
        </w:rPr>
        <w:t>PLANEACIÓN URBANA Y REGULARIZACIÓN DE LA TENENCIA DE LA TIERRA.</w:t>
      </w:r>
    </w:p>
    <w:p w14:paraId="0F810C6E" w14:textId="77777777" w:rsidR="00D65323" w:rsidRDefault="00D65323" w:rsidP="00D65323">
      <w:pPr>
        <w:jc w:val="center"/>
        <w:rPr>
          <w:rFonts w:ascii="Arial Narrow" w:eastAsia="Calibri" w:hAnsi="Arial Narrow" w:cs="Arial"/>
          <w:b/>
        </w:rPr>
      </w:pPr>
    </w:p>
    <w:p w14:paraId="64C67FAC" w14:textId="77777777" w:rsidR="00D65323" w:rsidRDefault="00D65323" w:rsidP="00D65323">
      <w:pPr>
        <w:jc w:val="center"/>
        <w:rPr>
          <w:rFonts w:ascii="Arial Narrow" w:eastAsia="Calibri" w:hAnsi="Arial Narrow" w:cs="Arial"/>
          <w:b/>
        </w:rPr>
      </w:pPr>
    </w:p>
    <w:p w14:paraId="2E1CCDAA" w14:textId="77777777" w:rsidR="00D65323" w:rsidRDefault="00D65323" w:rsidP="00D65323">
      <w:pPr>
        <w:jc w:val="center"/>
        <w:rPr>
          <w:rFonts w:ascii="Arial Narrow" w:eastAsia="Calibri" w:hAnsi="Arial Narrow" w:cs="Arial"/>
          <w:b/>
        </w:rPr>
      </w:pPr>
    </w:p>
    <w:p w14:paraId="220AC6FB" w14:textId="36A9897C" w:rsidR="00D65323" w:rsidRPr="006D1681" w:rsidRDefault="00D65323" w:rsidP="00D65323">
      <w:pPr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*La presente hoja de firmas, forma parte integrante de la Convocatoria a la Décima Octava Sesión Extraordinaria de la Comisión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Edilicia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Permanente de Obras Públicas, Planeación Urbana y Regularización de la Tenencia de la Tierra, contenida en el oficio número 12</w:t>
      </w:r>
      <w:r w:rsidR="00D577C6">
        <w:rPr>
          <w:rFonts w:ascii="Arial" w:eastAsia="Calibri" w:hAnsi="Arial" w:cs="Arial"/>
          <w:b/>
          <w:sz w:val="16"/>
          <w:szCs w:val="16"/>
        </w:rPr>
        <w:t>67</w:t>
      </w:r>
      <w:r>
        <w:rPr>
          <w:rFonts w:ascii="Arial" w:eastAsia="Calibri" w:hAnsi="Arial" w:cs="Arial"/>
          <w:b/>
          <w:sz w:val="16"/>
          <w:szCs w:val="16"/>
        </w:rPr>
        <w:t xml:space="preserve">/2025;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-  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 - </w:t>
      </w:r>
      <w:proofErr w:type="gramStart"/>
      <w:r>
        <w:rPr>
          <w:rFonts w:ascii="Arial" w:eastAsia="Calibri" w:hAnsi="Arial" w:cs="Arial"/>
          <w:b/>
          <w:sz w:val="16"/>
          <w:szCs w:val="16"/>
        </w:rPr>
        <w:t>CONSTE.-</w:t>
      </w:r>
      <w:proofErr w:type="gramEnd"/>
      <w:r>
        <w:rPr>
          <w:rFonts w:ascii="Arial" w:eastAsia="Calibri" w:hAnsi="Arial" w:cs="Arial"/>
          <w:b/>
          <w:sz w:val="16"/>
          <w:szCs w:val="16"/>
        </w:rPr>
        <w:t xml:space="preserve"> </w:t>
      </w:r>
    </w:p>
    <w:p w14:paraId="128044F5" w14:textId="77777777" w:rsidR="00D65323" w:rsidRDefault="00D65323" w:rsidP="00D65323">
      <w:pPr>
        <w:jc w:val="center"/>
        <w:rPr>
          <w:rFonts w:ascii="Arial Narrow" w:eastAsia="Calibri" w:hAnsi="Arial Narrow" w:cs="Arial"/>
          <w:b/>
        </w:rPr>
      </w:pPr>
    </w:p>
    <w:p w14:paraId="5DE22034" w14:textId="77777777" w:rsidR="00D65323" w:rsidRDefault="00D65323" w:rsidP="00D65323">
      <w:pPr>
        <w:jc w:val="center"/>
        <w:rPr>
          <w:rFonts w:ascii="Arial Narrow" w:eastAsia="Calibri" w:hAnsi="Arial Narrow" w:cs="Arial"/>
          <w:b/>
        </w:rPr>
      </w:pPr>
    </w:p>
    <w:p w14:paraId="46FA4361" w14:textId="77777777" w:rsidR="00D65323" w:rsidRPr="0033427E" w:rsidRDefault="00D65323" w:rsidP="00D65323">
      <w:pPr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*MCC/</w:t>
      </w:r>
      <w:proofErr w:type="spellStart"/>
      <w:r w:rsidRPr="0033427E">
        <w:rPr>
          <w:rFonts w:ascii="Arial" w:eastAsia="Calibri" w:hAnsi="Arial" w:cs="Arial"/>
          <w:bCs/>
          <w:sz w:val="16"/>
          <w:szCs w:val="16"/>
        </w:rPr>
        <w:t>mgpa</w:t>
      </w:r>
      <w:proofErr w:type="spellEnd"/>
      <w:r w:rsidRPr="0033427E">
        <w:rPr>
          <w:rFonts w:ascii="Arial" w:eastAsia="Calibri" w:hAnsi="Arial" w:cs="Arial"/>
          <w:bCs/>
          <w:sz w:val="16"/>
          <w:szCs w:val="16"/>
        </w:rPr>
        <w:t xml:space="preserve">. Asesora. </w:t>
      </w:r>
    </w:p>
    <w:p w14:paraId="0C8ED005" w14:textId="77777777" w:rsidR="00370F43" w:rsidRDefault="00370F43"/>
    <w:sectPr w:rsidR="00370F43" w:rsidSect="00D65323">
      <w:headerReference w:type="even" r:id="rId4"/>
      <w:headerReference w:type="default" r:id="rId5"/>
      <w:headerReference w:type="first" r:id="rId6"/>
      <w:pgSz w:w="12240" w:h="15840"/>
      <w:pgMar w:top="1701" w:right="9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20AC" w14:textId="77777777" w:rsidR="00D65323" w:rsidRDefault="00D65323">
    <w:pPr>
      <w:pStyle w:val="Encabezado"/>
    </w:pPr>
    <w:r>
      <w:rPr>
        <w:noProof/>
      </w:rPr>
      <w:pict w14:anchorId="09F7C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4CCF" w14:textId="77777777" w:rsidR="00D65323" w:rsidRDefault="00D65323" w:rsidP="00764723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49DE8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-92.75pt;margin-top:-86.8pt;width:635.6pt;height:811.95pt;z-index:-251657216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8BAA" w14:textId="77777777" w:rsidR="00D65323" w:rsidRDefault="00D65323">
    <w:pPr>
      <w:pStyle w:val="Encabezado"/>
    </w:pPr>
    <w:r>
      <w:rPr>
        <w:noProof/>
      </w:rPr>
      <w:pict w14:anchorId="2F845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23"/>
    <w:rsid w:val="00370F43"/>
    <w:rsid w:val="006152F4"/>
    <w:rsid w:val="007C2600"/>
    <w:rsid w:val="00D577C6"/>
    <w:rsid w:val="00D65323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A7DFC"/>
  <w15:chartTrackingRefBased/>
  <w15:docId w15:val="{EA1F0992-B7A4-46D4-AA95-30296DA0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23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653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53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53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53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53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532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532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532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532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5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5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5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53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53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53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53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53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53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5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53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5323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53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5323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53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5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53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532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5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5323"/>
  </w:style>
  <w:style w:type="paragraph" w:styleId="Sinespaciado">
    <w:name w:val="No Spacing"/>
    <w:link w:val="SinespaciadoCar"/>
    <w:uiPriority w:val="1"/>
    <w:qFormat/>
    <w:rsid w:val="00D65323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5323"/>
    <w:rPr>
      <w:sz w:val="22"/>
      <w:szCs w:val="22"/>
    </w:rPr>
  </w:style>
  <w:style w:type="character" w:customStyle="1" w:styleId="Ninguno">
    <w:name w:val="Ninguno"/>
    <w:rsid w:val="00D65323"/>
    <w:rPr>
      <w:lang w:val="en-US"/>
    </w:rPr>
  </w:style>
  <w:style w:type="table" w:styleId="Tablaconcuadrcula">
    <w:name w:val="Table Grid"/>
    <w:basedOn w:val="Tablanormal"/>
    <w:uiPriority w:val="59"/>
    <w:rsid w:val="00D653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2025-12-08T16:00:00Z</dcterms:created>
  <dcterms:modified xsi:type="dcterms:W3CDTF">2025-12-08T16:27:00Z</dcterms:modified>
</cp:coreProperties>
</file>