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BB67" w14:textId="77777777" w:rsidR="00F449C9" w:rsidRDefault="00F449C9" w:rsidP="00F449C9">
      <w:pPr>
        <w:pStyle w:val="Sinespaciado"/>
        <w:spacing w:line="276" w:lineRule="auto"/>
        <w:jc w:val="both"/>
        <w:rPr>
          <w:rFonts w:ascii="Arial" w:hAnsi="Arial" w:cs="Arial"/>
          <w:sz w:val="24"/>
          <w:szCs w:val="24"/>
        </w:rPr>
      </w:pPr>
    </w:p>
    <w:p w14:paraId="2AA44226" w14:textId="77777777" w:rsidR="00F449C9" w:rsidRDefault="00F449C9" w:rsidP="00F449C9">
      <w:pPr>
        <w:pStyle w:val="Sinespaciado"/>
        <w:spacing w:line="276" w:lineRule="auto"/>
        <w:jc w:val="both"/>
        <w:rPr>
          <w:rFonts w:ascii="Arial" w:hAnsi="Arial" w:cs="Arial"/>
          <w:sz w:val="24"/>
          <w:szCs w:val="24"/>
        </w:rPr>
      </w:pPr>
    </w:p>
    <w:p w14:paraId="7A8A7C93" w14:textId="77777777" w:rsidR="00F449C9" w:rsidRDefault="00F449C9" w:rsidP="00F449C9">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F449C9" w14:paraId="0FDB8B49" w14:textId="77777777" w:rsidTr="00BC190F">
        <w:tc>
          <w:tcPr>
            <w:tcW w:w="9629" w:type="dxa"/>
          </w:tcPr>
          <w:p w14:paraId="2DDA0C43" w14:textId="7588E3E0" w:rsidR="00F449C9" w:rsidRDefault="007B1C98" w:rsidP="00BC190F">
            <w:pPr>
              <w:pStyle w:val="Sinespaciado"/>
              <w:spacing w:line="276" w:lineRule="auto"/>
              <w:jc w:val="center"/>
              <w:rPr>
                <w:rFonts w:ascii="Arial" w:hAnsi="Arial" w:cs="Arial"/>
                <w:b/>
                <w:bCs/>
                <w:kern w:val="2"/>
                <w14:ligatures w14:val="standardContextual"/>
              </w:rPr>
            </w:pPr>
            <w:r>
              <w:rPr>
                <w:rFonts w:ascii="Arial" w:hAnsi="Arial" w:cs="Arial"/>
                <w:b/>
                <w:bCs/>
                <w:kern w:val="2"/>
                <w14:ligatures w14:val="standardContextual"/>
              </w:rPr>
              <w:t>DÉCIMA QUINTA</w:t>
            </w:r>
            <w:r w:rsidR="00F449C9" w:rsidRPr="00E1214A">
              <w:rPr>
                <w:rFonts w:ascii="Arial" w:hAnsi="Arial" w:cs="Arial"/>
                <w:b/>
                <w:bCs/>
                <w:kern w:val="2"/>
                <w14:ligatures w14:val="standardContextual"/>
              </w:rPr>
              <w:t xml:space="preserve"> SESIÓN EXTRAORDINARIA.</w:t>
            </w:r>
          </w:p>
          <w:p w14:paraId="21153FBB" w14:textId="77777777" w:rsidR="00F449C9" w:rsidRPr="00E1214A" w:rsidRDefault="00F449C9" w:rsidP="00BC190F">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COMISIÓN EDILICIA PERMANENTE DE OBRAS PÚBLICAS, PLANEACIÓN URBANA</w:t>
            </w:r>
          </w:p>
          <w:p w14:paraId="473AB729" w14:textId="77777777" w:rsidR="00F449C9" w:rsidRPr="00E1214A" w:rsidRDefault="00F449C9" w:rsidP="00BC190F">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Y REGULARIZACIÓN DE LA TENENCIA DE LA TIERRA.</w:t>
            </w:r>
          </w:p>
          <w:p w14:paraId="32916BA6" w14:textId="77777777" w:rsidR="00F449C9" w:rsidRPr="00E1214A" w:rsidRDefault="00F449C9" w:rsidP="00BC190F">
            <w:pPr>
              <w:pStyle w:val="Sinespaciado"/>
              <w:spacing w:line="276" w:lineRule="auto"/>
              <w:jc w:val="center"/>
              <w:rPr>
                <w:rFonts w:ascii="Arial" w:hAnsi="Arial" w:cs="Arial"/>
                <w:b/>
                <w:bCs/>
              </w:rPr>
            </w:pPr>
          </w:p>
        </w:tc>
      </w:tr>
    </w:tbl>
    <w:p w14:paraId="747B2A09" w14:textId="77777777" w:rsidR="00F449C9" w:rsidRDefault="00F449C9" w:rsidP="00F449C9">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F449C9" w14:paraId="521E95A4" w14:textId="77777777" w:rsidTr="00BC190F">
        <w:tc>
          <w:tcPr>
            <w:tcW w:w="9629" w:type="dxa"/>
          </w:tcPr>
          <w:p w14:paraId="34089627" w14:textId="7B1A2A81" w:rsidR="00F449C9" w:rsidRPr="00B852F7" w:rsidRDefault="007B1C98" w:rsidP="00BC190F">
            <w:pPr>
              <w:pStyle w:val="Sinespaciado"/>
              <w:spacing w:line="276" w:lineRule="auto"/>
              <w:jc w:val="center"/>
              <w:rPr>
                <w:rFonts w:ascii="Arial" w:hAnsi="Arial" w:cs="Arial"/>
                <w:b/>
                <w:sz w:val="24"/>
                <w:szCs w:val="24"/>
              </w:rPr>
            </w:pPr>
            <w:r>
              <w:rPr>
                <w:rFonts w:ascii="Arial" w:hAnsi="Arial" w:cs="Arial"/>
                <w:b/>
                <w:sz w:val="24"/>
                <w:szCs w:val="24"/>
              </w:rPr>
              <w:t>ORDEN DEL DÍA</w:t>
            </w:r>
            <w:r w:rsidR="00F449C9" w:rsidRPr="00B852F7">
              <w:rPr>
                <w:rFonts w:ascii="Arial" w:hAnsi="Arial" w:cs="Arial"/>
                <w:b/>
                <w:sz w:val="24"/>
                <w:szCs w:val="24"/>
              </w:rPr>
              <w:t>:</w:t>
            </w:r>
          </w:p>
          <w:p w14:paraId="48752BD0" w14:textId="77777777" w:rsidR="00F449C9" w:rsidRPr="00E1214A" w:rsidRDefault="00F449C9" w:rsidP="00BC190F">
            <w:pPr>
              <w:pStyle w:val="Sinespaciado"/>
              <w:spacing w:line="276" w:lineRule="auto"/>
              <w:jc w:val="both"/>
              <w:rPr>
                <w:rFonts w:ascii="Arial" w:hAnsi="Arial" w:cs="Arial"/>
              </w:rPr>
            </w:pPr>
          </w:p>
        </w:tc>
      </w:tr>
    </w:tbl>
    <w:p w14:paraId="7A5F8E90" w14:textId="77777777" w:rsidR="00F449C9" w:rsidRDefault="00F449C9" w:rsidP="00F449C9">
      <w:pPr>
        <w:pStyle w:val="Sinespaciado"/>
        <w:spacing w:line="276" w:lineRule="auto"/>
        <w:jc w:val="both"/>
        <w:rPr>
          <w:rFonts w:ascii="Arial" w:hAnsi="Arial" w:cs="Arial"/>
          <w:sz w:val="24"/>
          <w:szCs w:val="24"/>
        </w:rPr>
      </w:pPr>
    </w:p>
    <w:p w14:paraId="04597E5A" w14:textId="77777777" w:rsidR="007B1C98" w:rsidRDefault="007B1C98" w:rsidP="00F449C9">
      <w:pPr>
        <w:pStyle w:val="Sinespaciado"/>
        <w:spacing w:line="276" w:lineRule="auto"/>
        <w:jc w:val="both"/>
        <w:rPr>
          <w:rFonts w:ascii="Arial" w:hAnsi="Arial" w:cs="Arial"/>
          <w:sz w:val="24"/>
          <w:szCs w:val="24"/>
        </w:rPr>
      </w:pPr>
    </w:p>
    <w:p w14:paraId="0DCCD73F" w14:textId="77777777" w:rsidR="007B1C98" w:rsidRDefault="007B1C98" w:rsidP="007B1C98">
      <w:pPr>
        <w:rPr>
          <w:rFonts w:ascii="Arial" w:hAnsi="Arial" w:cs="Arial"/>
        </w:rPr>
      </w:pPr>
      <w:r w:rsidRPr="00A374FA">
        <w:rPr>
          <w:rFonts w:ascii="Arial" w:hAnsi="Arial" w:cs="Arial"/>
          <w:b/>
        </w:rPr>
        <w:t>1.-</w:t>
      </w:r>
      <w:r w:rsidRPr="00A374FA">
        <w:rPr>
          <w:rFonts w:ascii="Arial" w:hAnsi="Arial" w:cs="Arial"/>
        </w:rPr>
        <w:t xml:space="preserve"> Lista de asistencia, verificación del quorum y aprobación del orden del día.</w:t>
      </w:r>
    </w:p>
    <w:p w14:paraId="10E56DE9" w14:textId="77777777" w:rsidR="007B1C98" w:rsidRDefault="007B1C98" w:rsidP="007B1C98">
      <w:pPr>
        <w:rPr>
          <w:rFonts w:ascii="Arial" w:hAnsi="Arial" w:cs="Arial"/>
        </w:rPr>
      </w:pPr>
    </w:p>
    <w:p w14:paraId="066A3FF7" w14:textId="77777777" w:rsidR="007B1C98" w:rsidRDefault="007B1C98" w:rsidP="007B1C98">
      <w:pPr>
        <w:jc w:val="both"/>
        <w:rPr>
          <w:rFonts w:ascii="Arial" w:hAnsi="Arial" w:cs="Arial"/>
          <w:sz w:val="23"/>
          <w:szCs w:val="23"/>
        </w:rPr>
      </w:pPr>
      <w:r w:rsidRPr="00A374FA">
        <w:rPr>
          <w:rFonts w:ascii="Arial" w:hAnsi="Arial" w:cs="Arial"/>
          <w:b/>
        </w:rPr>
        <w:t xml:space="preserve">2.-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DOT-2025/0-578, que contiene el resultado de la consulta pública</w:t>
      </w:r>
      <w:r w:rsidRPr="005F049B">
        <w:rPr>
          <w:rFonts w:ascii="Arial" w:hAnsi="Arial" w:cs="Arial"/>
        </w:rPr>
        <w:t xml:space="preserve"> que autoriza la </w:t>
      </w:r>
      <w:r w:rsidRPr="005F049B">
        <w:rPr>
          <w:rFonts w:ascii="Arial" w:hAnsi="Arial" w:cs="Arial"/>
          <w:sz w:val="23"/>
          <w:szCs w:val="23"/>
        </w:rPr>
        <w:t>modificación parcial al plan parcial de desarrollo urbano, consistente en la eliminación de vialidad local y de servicio (</w:t>
      </w:r>
      <w:r>
        <w:rPr>
          <w:rFonts w:ascii="Arial" w:hAnsi="Arial" w:cs="Arial"/>
          <w:sz w:val="23"/>
          <w:szCs w:val="23"/>
        </w:rPr>
        <w:t>VLS</w:t>
      </w:r>
      <w:r w:rsidRPr="005F049B">
        <w:rPr>
          <w:rFonts w:ascii="Arial" w:hAnsi="Arial" w:cs="Arial"/>
          <w:sz w:val="23"/>
          <w:szCs w:val="23"/>
        </w:rPr>
        <w:t xml:space="preserve">02), de conformidad al </w:t>
      </w:r>
      <w:r>
        <w:rPr>
          <w:rFonts w:ascii="Arial" w:hAnsi="Arial" w:cs="Arial"/>
          <w:sz w:val="23"/>
          <w:szCs w:val="23"/>
        </w:rPr>
        <w:t>D</w:t>
      </w:r>
      <w:r w:rsidRPr="005F049B">
        <w:rPr>
          <w:rFonts w:ascii="Arial" w:hAnsi="Arial" w:cs="Arial"/>
          <w:sz w:val="23"/>
          <w:szCs w:val="23"/>
        </w:rPr>
        <w:t>istrito 1 “</w:t>
      </w:r>
      <w:r>
        <w:rPr>
          <w:rFonts w:ascii="Arial" w:hAnsi="Arial" w:cs="Arial"/>
          <w:sz w:val="23"/>
          <w:szCs w:val="23"/>
        </w:rPr>
        <w:t>CIUDAD GUZMÁN</w:t>
      </w:r>
      <w:r w:rsidRPr="005F049B">
        <w:rPr>
          <w:rFonts w:ascii="Arial" w:hAnsi="Arial" w:cs="Arial"/>
          <w:sz w:val="23"/>
          <w:szCs w:val="23"/>
        </w:rPr>
        <w:t xml:space="preserve">”, </w:t>
      </w:r>
      <w:r>
        <w:rPr>
          <w:rFonts w:ascii="Arial" w:hAnsi="Arial" w:cs="Arial"/>
          <w:sz w:val="23"/>
          <w:szCs w:val="23"/>
        </w:rPr>
        <w:t>S</w:t>
      </w:r>
      <w:r w:rsidRPr="005F049B">
        <w:rPr>
          <w:rFonts w:ascii="Arial" w:hAnsi="Arial" w:cs="Arial"/>
          <w:sz w:val="23"/>
          <w:szCs w:val="23"/>
        </w:rPr>
        <w:t>ubdistrito 8 “</w:t>
      </w:r>
      <w:r>
        <w:rPr>
          <w:rFonts w:ascii="Arial" w:hAnsi="Arial" w:cs="Arial"/>
          <w:sz w:val="23"/>
          <w:szCs w:val="23"/>
        </w:rPr>
        <w:t>CUSUR</w:t>
      </w:r>
      <w:r w:rsidRPr="005F049B">
        <w:rPr>
          <w:rFonts w:ascii="Arial" w:hAnsi="Arial" w:cs="Arial"/>
          <w:sz w:val="23"/>
          <w:szCs w:val="23"/>
        </w:rPr>
        <w:t xml:space="preserve">”, del plan parcial de desarrollo urbano de  </w:t>
      </w:r>
      <w:r>
        <w:rPr>
          <w:rFonts w:ascii="Arial" w:hAnsi="Arial" w:cs="Arial"/>
          <w:sz w:val="23"/>
          <w:szCs w:val="23"/>
        </w:rPr>
        <w:t>Z</w:t>
      </w:r>
      <w:r w:rsidRPr="005F049B">
        <w:rPr>
          <w:rFonts w:ascii="Arial" w:hAnsi="Arial" w:cs="Arial"/>
          <w:sz w:val="23"/>
          <w:szCs w:val="23"/>
        </w:rPr>
        <w:t xml:space="preserve">apotlán el </w:t>
      </w:r>
      <w:r>
        <w:rPr>
          <w:rFonts w:ascii="Arial" w:hAnsi="Arial" w:cs="Arial"/>
          <w:sz w:val="23"/>
          <w:szCs w:val="23"/>
        </w:rPr>
        <w:t>G</w:t>
      </w:r>
      <w:r w:rsidRPr="005F049B">
        <w:rPr>
          <w:rFonts w:ascii="Arial" w:hAnsi="Arial" w:cs="Arial"/>
          <w:sz w:val="23"/>
          <w:szCs w:val="23"/>
        </w:rPr>
        <w:t xml:space="preserve">rande, </w:t>
      </w:r>
      <w:r>
        <w:rPr>
          <w:rFonts w:ascii="Arial" w:hAnsi="Arial" w:cs="Arial"/>
          <w:sz w:val="23"/>
          <w:szCs w:val="23"/>
        </w:rPr>
        <w:t>J</w:t>
      </w:r>
      <w:r w:rsidRPr="005F049B">
        <w:rPr>
          <w:rFonts w:ascii="Arial" w:hAnsi="Arial" w:cs="Arial"/>
          <w:sz w:val="23"/>
          <w:szCs w:val="23"/>
        </w:rPr>
        <w:t xml:space="preserve">alisco, del predio urbano sin número oficial, de la </w:t>
      </w:r>
      <w:r>
        <w:rPr>
          <w:rFonts w:ascii="Arial" w:hAnsi="Arial" w:cs="Arial"/>
          <w:sz w:val="23"/>
          <w:szCs w:val="23"/>
        </w:rPr>
        <w:t>A</w:t>
      </w:r>
      <w:r w:rsidRPr="005F049B">
        <w:rPr>
          <w:rFonts w:ascii="Arial" w:hAnsi="Arial" w:cs="Arial"/>
          <w:sz w:val="23"/>
          <w:szCs w:val="23"/>
        </w:rPr>
        <w:t xml:space="preserve">v. </w:t>
      </w:r>
      <w:r>
        <w:rPr>
          <w:rFonts w:ascii="Arial" w:hAnsi="Arial" w:cs="Arial"/>
          <w:sz w:val="23"/>
          <w:szCs w:val="23"/>
        </w:rPr>
        <w:t>J</w:t>
      </w:r>
      <w:r w:rsidRPr="005F049B">
        <w:rPr>
          <w:rFonts w:ascii="Arial" w:hAnsi="Arial" w:cs="Arial"/>
          <w:sz w:val="23"/>
          <w:szCs w:val="23"/>
        </w:rPr>
        <w:t xml:space="preserve">uan </w:t>
      </w:r>
      <w:r>
        <w:rPr>
          <w:rFonts w:ascii="Arial" w:hAnsi="Arial" w:cs="Arial"/>
          <w:sz w:val="23"/>
          <w:szCs w:val="23"/>
        </w:rPr>
        <w:t>J</w:t>
      </w:r>
      <w:r w:rsidRPr="005F049B">
        <w:rPr>
          <w:rFonts w:ascii="Arial" w:hAnsi="Arial" w:cs="Arial"/>
          <w:sz w:val="23"/>
          <w:szCs w:val="23"/>
        </w:rPr>
        <w:t xml:space="preserve">osé </w:t>
      </w:r>
      <w:r>
        <w:rPr>
          <w:rFonts w:ascii="Arial" w:hAnsi="Arial" w:cs="Arial"/>
          <w:sz w:val="23"/>
          <w:szCs w:val="23"/>
        </w:rPr>
        <w:t>A</w:t>
      </w:r>
      <w:r w:rsidRPr="005F049B">
        <w:rPr>
          <w:rFonts w:ascii="Arial" w:hAnsi="Arial" w:cs="Arial"/>
          <w:sz w:val="23"/>
          <w:szCs w:val="23"/>
        </w:rPr>
        <w:t xml:space="preserve">rreola </w:t>
      </w:r>
      <w:r>
        <w:rPr>
          <w:rFonts w:ascii="Arial" w:hAnsi="Arial" w:cs="Arial"/>
          <w:sz w:val="23"/>
          <w:szCs w:val="23"/>
        </w:rPr>
        <w:t>Z</w:t>
      </w:r>
      <w:r w:rsidRPr="005F049B">
        <w:rPr>
          <w:rFonts w:ascii="Arial" w:hAnsi="Arial" w:cs="Arial"/>
          <w:sz w:val="23"/>
          <w:szCs w:val="23"/>
        </w:rPr>
        <w:t xml:space="preserve">úñiga en la colonia centro de esta ciudad, con número de cuenta catastral u-41142. </w:t>
      </w:r>
    </w:p>
    <w:p w14:paraId="65BA8B98" w14:textId="77777777" w:rsidR="007B1C98" w:rsidRDefault="007B1C98" w:rsidP="007B1C98">
      <w:pPr>
        <w:jc w:val="both"/>
        <w:rPr>
          <w:rFonts w:ascii="Arial" w:hAnsi="Arial" w:cs="Arial"/>
          <w:sz w:val="23"/>
          <w:szCs w:val="23"/>
        </w:rPr>
      </w:pPr>
    </w:p>
    <w:p w14:paraId="23B72F94" w14:textId="70540495" w:rsidR="007B1C98" w:rsidRDefault="007B1C98" w:rsidP="007B1C98">
      <w:pPr>
        <w:jc w:val="both"/>
        <w:rPr>
          <w:rFonts w:ascii="Arial" w:hAnsi="Arial" w:cs="Arial"/>
          <w:sz w:val="23"/>
          <w:szCs w:val="23"/>
        </w:rPr>
      </w:pPr>
      <w:r w:rsidRPr="005F049B">
        <w:rPr>
          <w:rFonts w:ascii="Arial" w:hAnsi="Arial" w:cs="Arial"/>
          <w:b/>
          <w:bCs/>
          <w:sz w:val="23"/>
          <w:szCs w:val="23"/>
        </w:rPr>
        <w:t xml:space="preserve">3.-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DOT-2025/0-579, que contiene el resultado de la consulta pública</w:t>
      </w:r>
      <w:r w:rsidRPr="005F049B">
        <w:rPr>
          <w:rFonts w:ascii="Arial" w:hAnsi="Arial" w:cs="Arial"/>
        </w:rPr>
        <w:t xml:space="preserve"> que autoriza la </w:t>
      </w:r>
      <w:r w:rsidRPr="005F049B">
        <w:rPr>
          <w:rFonts w:ascii="Arial" w:hAnsi="Arial" w:cs="Arial"/>
          <w:sz w:val="23"/>
          <w:szCs w:val="23"/>
        </w:rPr>
        <w:t>modificación</w:t>
      </w:r>
      <w:r>
        <w:rPr>
          <w:rFonts w:ascii="Arial" w:hAnsi="Arial" w:cs="Arial"/>
          <w:sz w:val="23"/>
          <w:szCs w:val="23"/>
        </w:rPr>
        <w:t xml:space="preserve"> Parcial del Plan Parcial de Desarrollo Urbano de Zapotlán el Grande, Jalisco, Distrito 1 “CIUDAD GUZMÁN” Subdistrito 7 “CENTRAL CAMIONERA” respecto de la totalidad de los lotes urbanos baldíos, ubicados por la calle Hermenegildo Galeana sin número, con número de cuenta catastral UO49581 y UO49583, clasificados como Area Urbana, Equipamiento Regional (234/AU, EI-R) Mixto Central Intensidad Alta (RU-CP, MC-4). </w:t>
      </w:r>
    </w:p>
    <w:p w14:paraId="0FA33E1D" w14:textId="77777777" w:rsidR="007B1C98" w:rsidRDefault="007B1C98" w:rsidP="007B1C98">
      <w:pPr>
        <w:jc w:val="both"/>
        <w:rPr>
          <w:rFonts w:ascii="Arial" w:hAnsi="Arial" w:cs="Arial"/>
          <w:sz w:val="23"/>
          <w:szCs w:val="23"/>
        </w:rPr>
      </w:pPr>
    </w:p>
    <w:p w14:paraId="45A9015B" w14:textId="77777777" w:rsidR="007B1C98" w:rsidRDefault="007B1C98" w:rsidP="007B1C98">
      <w:pPr>
        <w:jc w:val="both"/>
        <w:rPr>
          <w:rFonts w:ascii="Arial" w:hAnsi="Arial" w:cs="Arial"/>
        </w:rPr>
      </w:pPr>
      <w:r w:rsidRPr="0047153B">
        <w:rPr>
          <w:rFonts w:ascii="Arial" w:hAnsi="Arial" w:cs="Arial"/>
          <w:b/>
          <w:bCs/>
          <w:sz w:val="23"/>
          <w:szCs w:val="23"/>
        </w:rPr>
        <w:t>4.</w:t>
      </w:r>
      <w:r>
        <w:rPr>
          <w:rFonts w:ascii="Arial" w:hAnsi="Arial" w:cs="Arial"/>
          <w:sz w:val="23"/>
          <w:szCs w:val="23"/>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DOT-2025/0-580, que contiene el resultado de la consulta pública</w:t>
      </w:r>
      <w:r w:rsidRPr="005F049B">
        <w:rPr>
          <w:rFonts w:ascii="Arial" w:hAnsi="Arial" w:cs="Arial"/>
        </w:rPr>
        <w:t xml:space="preserve"> que autoriza</w:t>
      </w:r>
      <w:r>
        <w:rPr>
          <w:rFonts w:ascii="Arial" w:hAnsi="Arial" w:cs="Arial"/>
        </w:rPr>
        <w:t xml:space="preserve"> la modificación parcial al Programa Municipal de Desarrollo Urbano y al Plan Parcial de Desarrollo Urbano del Municipio de Zapotlán el Grande, Jalisco, Distrito 1 “CIUDAD GUZMÁN” Subdistrito 7 “CENTRAL CAMIONERA”, con respecto al predio con cuenta catastral urbana U49175, localizado en la calle Valle del Real sin número oficial, en la colonia Valle del Sur, al Poniente de Ciudad Guzmán, con una extensión superficial de 2,889.07 metros cuadrados, clasificado como Área Urbana, con uso Espacios Verdes, Abiertos y Recreativos Barriales (275/AU,EV-B) a un uso de Habitacional Densidad Alta, Plurifamiliar Vertical (H4-V). </w:t>
      </w:r>
    </w:p>
    <w:p w14:paraId="071AA1B4" w14:textId="77777777" w:rsidR="007B1C98" w:rsidRDefault="007B1C98" w:rsidP="007B1C98">
      <w:pPr>
        <w:jc w:val="both"/>
        <w:rPr>
          <w:rFonts w:ascii="Arial" w:hAnsi="Arial" w:cs="Arial"/>
          <w:b/>
          <w:bCs/>
        </w:rPr>
      </w:pPr>
    </w:p>
    <w:p w14:paraId="7FA5C98F" w14:textId="04929995" w:rsidR="007B1C98" w:rsidRDefault="007B1C98" w:rsidP="007B1C98">
      <w:pPr>
        <w:jc w:val="both"/>
        <w:rPr>
          <w:rFonts w:ascii="Arial" w:hAnsi="Arial" w:cs="Arial"/>
        </w:rPr>
      </w:pPr>
      <w:r w:rsidRPr="0047153B">
        <w:rPr>
          <w:rFonts w:ascii="Arial" w:hAnsi="Arial" w:cs="Arial"/>
          <w:b/>
          <w:bCs/>
        </w:rPr>
        <w:t>5.</w:t>
      </w:r>
      <w:r>
        <w:rPr>
          <w:rFonts w:ascii="Arial" w:hAnsi="Arial" w:cs="Arial"/>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DOP-426/2025 y 427/2025, que contiene la solicitud de aprobación de los TECHOS FINANCIEROS (</w:t>
      </w:r>
      <w:r w:rsidRPr="007A7A93">
        <w:rPr>
          <w:rFonts w:ascii="Arial" w:hAnsi="Arial" w:cs="Arial"/>
          <w:u w:val="single"/>
        </w:rPr>
        <w:t>OBRAS PROCEDENTES DE RECURSOS PROPIOS</w:t>
      </w:r>
      <w:r>
        <w:rPr>
          <w:rFonts w:ascii="Arial" w:hAnsi="Arial" w:cs="Arial"/>
        </w:rPr>
        <w:t xml:space="preserve">) bajo la modalidad de Adjudicación Directa por Administración Directa,  de las Obras Números RP-03-2025; RP-05-2025; </w:t>
      </w:r>
      <w:r>
        <w:rPr>
          <w:rFonts w:ascii="Arial" w:hAnsi="Arial" w:cs="Arial"/>
        </w:rPr>
        <w:lastRenderedPageBreak/>
        <w:t>RP06-2025; RP-07-2025; RP-08-2025; RP-09-2025; RP-10-2025; RP-11-2025; RP-12-2025; RP-13-2025; RP-14-2025; RP-15-2025; RP-16-2025 Y (</w:t>
      </w:r>
      <w:r w:rsidRPr="007A7A93">
        <w:rPr>
          <w:rFonts w:ascii="Arial" w:hAnsi="Arial" w:cs="Arial"/>
          <w:u w:val="single"/>
        </w:rPr>
        <w:t>OBRA PROCEDENTE CON RECURSOS FEDERALES FAISMUN</w:t>
      </w:r>
      <w:r>
        <w:rPr>
          <w:rFonts w:ascii="Arial" w:hAnsi="Arial" w:cs="Arial"/>
        </w:rPr>
        <w:t xml:space="preserve">) FAISMUN-06-2025. Se anexan Fichas Técnicas. </w:t>
      </w:r>
    </w:p>
    <w:p w14:paraId="38B11224" w14:textId="77777777" w:rsidR="007B1C98" w:rsidRDefault="007B1C98" w:rsidP="007B1C98">
      <w:pPr>
        <w:jc w:val="both"/>
        <w:rPr>
          <w:rFonts w:ascii="Arial" w:hAnsi="Arial" w:cs="Arial"/>
        </w:rPr>
      </w:pPr>
    </w:p>
    <w:p w14:paraId="16327A6C" w14:textId="23BA2F30" w:rsidR="007B1C98" w:rsidRDefault="007B1C98" w:rsidP="007B1C98">
      <w:pPr>
        <w:jc w:val="both"/>
        <w:rPr>
          <w:rFonts w:ascii="Arial" w:hAnsi="Arial" w:cs="Arial"/>
          <w:sz w:val="23"/>
          <w:szCs w:val="23"/>
        </w:rPr>
      </w:pPr>
      <w:r w:rsidRPr="007B1C98">
        <w:rPr>
          <w:rFonts w:ascii="Arial" w:hAnsi="Arial" w:cs="Arial"/>
          <w:b/>
          <w:bCs/>
        </w:rPr>
        <w:t>6.-</w:t>
      </w:r>
      <w:r>
        <w:rPr>
          <w:rFonts w:ascii="Arial" w:hAnsi="Arial" w:cs="Arial"/>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DOP-428/2025, que contiene el cambio de recurso de financiamiento para la obra pública denominada: Construcción de Bases y Pavimento Asfaltico, en la calle Federico del Toro entre la Calle Lic. Ignacio Mariscal y Calle González Ortega, en la Colonia Centro en Ciudad Guzmán Municipio de Zapotlán el Grande, Jalisco, con financiamiento de Recurso Propio a Recurso Federal de FORTAMUN. </w:t>
      </w:r>
    </w:p>
    <w:p w14:paraId="0EB72DC2" w14:textId="77777777" w:rsidR="007B1C98" w:rsidRDefault="007B1C98" w:rsidP="007B1C98">
      <w:pPr>
        <w:rPr>
          <w:rFonts w:ascii="Arial" w:hAnsi="Arial" w:cs="Arial"/>
          <w:b/>
          <w:bCs/>
        </w:rPr>
      </w:pPr>
    </w:p>
    <w:p w14:paraId="298F444C" w14:textId="03848A38" w:rsidR="007B1C98" w:rsidRPr="00A374FA" w:rsidRDefault="007B1C98" w:rsidP="007B1C98">
      <w:pPr>
        <w:rPr>
          <w:rFonts w:ascii="Arial" w:hAnsi="Arial" w:cs="Arial"/>
        </w:rPr>
      </w:pPr>
      <w:r>
        <w:rPr>
          <w:rFonts w:ascii="Arial" w:hAnsi="Arial" w:cs="Arial"/>
          <w:b/>
          <w:bCs/>
        </w:rPr>
        <w:t>7</w:t>
      </w:r>
      <w:r>
        <w:rPr>
          <w:rFonts w:ascii="Arial" w:hAnsi="Arial" w:cs="Arial"/>
          <w:b/>
          <w:bCs/>
        </w:rPr>
        <w:t xml:space="preserve">.- </w:t>
      </w:r>
      <w:r w:rsidRPr="00A374FA">
        <w:rPr>
          <w:rFonts w:ascii="Arial" w:hAnsi="Arial" w:cs="Arial"/>
        </w:rPr>
        <w:t xml:space="preserve">Clausura. </w:t>
      </w:r>
    </w:p>
    <w:p w14:paraId="36AF6CDB" w14:textId="77777777" w:rsidR="00F449C9" w:rsidRDefault="00F449C9" w:rsidP="00F449C9">
      <w:pPr>
        <w:jc w:val="both"/>
        <w:rPr>
          <w:rFonts w:ascii="Arial" w:hAnsi="Arial" w:cs="Arial"/>
          <w:bCs/>
        </w:rPr>
      </w:pPr>
    </w:p>
    <w:p w14:paraId="0466C47B" w14:textId="77777777" w:rsidR="00F449C9" w:rsidRDefault="00F449C9" w:rsidP="00F449C9">
      <w:pPr>
        <w:jc w:val="center"/>
        <w:rPr>
          <w:rFonts w:ascii="Arial Narrow" w:eastAsia="Calibri" w:hAnsi="Arial Narrow" w:cs="Arial"/>
          <w:b/>
        </w:rPr>
      </w:pPr>
    </w:p>
    <w:p w14:paraId="758C5EB3" w14:textId="77777777" w:rsidR="00F449C9" w:rsidRPr="0033427E" w:rsidRDefault="00F449C9" w:rsidP="00F449C9">
      <w:pPr>
        <w:jc w:val="both"/>
        <w:rPr>
          <w:rFonts w:ascii="Arial" w:eastAsia="Calibri" w:hAnsi="Arial" w:cs="Arial"/>
          <w:b/>
          <w:sz w:val="16"/>
          <w:szCs w:val="16"/>
        </w:rPr>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6B2DB6AD" w14:textId="77777777" w:rsidR="00370F43" w:rsidRDefault="00370F43"/>
    <w:sectPr w:rsidR="00370F43" w:rsidSect="00F449C9">
      <w:headerReference w:type="even" r:id="rId4"/>
      <w:headerReference w:type="default" r:id="rId5"/>
      <w:headerReference w:type="first" r:id="rId6"/>
      <w:pgSz w:w="12240" w:h="15840"/>
      <w:pgMar w:top="1701" w:right="90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9F99" w14:textId="77777777" w:rsidR="00F449C9" w:rsidRDefault="00F449C9">
    <w:pPr>
      <w:pStyle w:val="Encabezado"/>
    </w:pPr>
    <w:r>
      <w:rPr>
        <w:noProof/>
      </w:rPr>
      <w:pict w14:anchorId="2519E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6009" w14:textId="77777777" w:rsidR="00F449C9" w:rsidRDefault="00F449C9" w:rsidP="00764723">
    <w:pPr>
      <w:pStyle w:val="Encabezado"/>
      <w:tabs>
        <w:tab w:val="clear" w:pos="4419"/>
        <w:tab w:val="clear" w:pos="8838"/>
        <w:tab w:val="left" w:pos="5295"/>
      </w:tabs>
    </w:pPr>
    <w:r>
      <w:rPr>
        <w:noProof/>
      </w:rPr>
      <w:pict w14:anchorId="33D10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92.75pt;margin-top:-86.8pt;width:635.6pt;height:811.95pt;z-index:-251657216;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6FC6" w14:textId="77777777" w:rsidR="00F449C9" w:rsidRDefault="00F449C9">
    <w:pPr>
      <w:pStyle w:val="Encabezado"/>
    </w:pPr>
    <w:r>
      <w:rPr>
        <w:noProof/>
      </w:rPr>
      <w:pict w14:anchorId="661D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C9"/>
    <w:rsid w:val="002E0FC6"/>
    <w:rsid w:val="00370F43"/>
    <w:rsid w:val="007B1C98"/>
    <w:rsid w:val="007C2600"/>
    <w:rsid w:val="00D92487"/>
    <w:rsid w:val="00F4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3BBC9"/>
  <w15:chartTrackingRefBased/>
  <w15:docId w15:val="{C89641A0-F192-4AB6-BA6E-1CBF1E0C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C9"/>
    <w:pPr>
      <w:spacing w:after="0" w:line="240" w:lineRule="auto"/>
    </w:pPr>
  </w:style>
  <w:style w:type="paragraph" w:styleId="Ttulo1">
    <w:name w:val="heading 1"/>
    <w:basedOn w:val="Normal"/>
    <w:next w:val="Normal"/>
    <w:link w:val="Ttulo1Car"/>
    <w:uiPriority w:val="9"/>
    <w:qFormat/>
    <w:rsid w:val="00F449C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449C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449C9"/>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449C9"/>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449C9"/>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449C9"/>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9C9"/>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9C9"/>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9C9"/>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4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4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449C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449C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4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9C9"/>
    <w:rPr>
      <w:rFonts w:eastAsiaTheme="majorEastAsia" w:cstheme="majorBidi"/>
      <w:color w:val="272727" w:themeColor="text1" w:themeTint="D8"/>
    </w:rPr>
  </w:style>
  <w:style w:type="paragraph" w:styleId="Ttulo">
    <w:name w:val="Title"/>
    <w:basedOn w:val="Normal"/>
    <w:next w:val="Normal"/>
    <w:link w:val="TtuloCar"/>
    <w:uiPriority w:val="10"/>
    <w:qFormat/>
    <w:rsid w:val="00F4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49C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9C9"/>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F449C9"/>
    <w:rPr>
      <w:i/>
      <w:iCs/>
      <w:color w:val="404040" w:themeColor="text1" w:themeTint="BF"/>
    </w:rPr>
  </w:style>
  <w:style w:type="paragraph" w:styleId="Prrafodelista">
    <w:name w:val="List Paragraph"/>
    <w:basedOn w:val="Normal"/>
    <w:uiPriority w:val="34"/>
    <w:qFormat/>
    <w:rsid w:val="00F449C9"/>
    <w:pPr>
      <w:spacing w:after="160" w:line="278" w:lineRule="auto"/>
      <w:ind w:left="720"/>
      <w:contextualSpacing/>
    </w:pPr>
  </w:style>
  <w:style w:type="character" w:styleId="nfasisintenso">
    <w:name w:val="Intense Emphasis"/>
    <w:basedOn w:val="Fuentedeprrafopredeter"/>
    <w:uiPriority w:val="21"/>
    <w:qFormat/>
    <w:rsid w:val="00F449C9"/>
    <w:rPr>
      <w:i/>
      <w:iCs/>
      <w:color w:val="2F5496" w:themeColor="accent1" w:themeShade="BF"/>
    </w:rPr>
  </w:style>
  <w:style w:type="paragraph" w:styleId="Citadestacada">
    <w:name w:val="Intense Quote"/>
    <w:basedOn w:val="Normal"/>
    <w:next w:val="Normal"/>
    <w:link w:val="CitadestacadaCar"/>
    <w:uiPriority w:val="30"/>
    <w:qFormat/>
    <w:rsid w:val="00F449C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449C9"/>
    <w:rPr>
      <w:i/>
      <w:iCs/>
      <w:color w:val="2F5496" w:themeColor="accent1" w:themeShade="BF"/>
    </w:rPr>
  </w:style>
  <w:style w:type="character" w:styleId="Referenciaintensa">
    <w:name w:val="Intense Reference"/>
    <w:basedOn w:val="Fuentedeprrafopredeter"/>
    <w:uiPriority w:val="32"/>
    <w:qFormat/>
    <w:rsid w:val="00F449C9"/>
    <w:rPr>
      <w:b/>
      <w:bCs/>
      <w:smallCaps/>
      <w:color w:val="2F5496" w:themeColor="accent1" w:themeShade="BF"/>
      <w:spacing w:val="5"/>
    </w:rPr>
  </w:style>
  <w:style w:type="paragraph" w:styleId="Encabezado">
    <w:name w:val="header"/>
    <w:basedOn w:val="Normal"/>
    <w:link w:val="EncabezadoCar"/>
    <w:uiPriority w:val="99"/>
    <w:unhideWhenUsed/>
    <w:rsid w:val="00F449C9"/>
    <w:pPr>
      <w:tabs>
        <w:tab w:val="center" w:pos="4419"/>
        <w:tab w:val="right" w:pos="8838"/>
      </w:tabs>
    </w:pPr>
  </w:style>
  <w:style w:type="character" w:customStyle="1" w:styleId="EncabezadoCar">
    <w:name w:val="Encabezado Car"/>
    <w:basedOn w:val="Fuentedeprrafopredeter"/>
    <w:link w:val="Encabezado"/>
    <w:uiPriority w:val="99"/>
    <w:rsid w:val="00F449C9"/>
  </w:style>
  <w:style w:type="paragraph" w:styleId="Sinespaciado">
    <w:name w:val="No Spacing"/>
    <w:link w:val="SinespaciadoCar"/>
    <w:uiPriority w:val="1"/>
    <w:qFormat/>
    <w:rsid w:val="00F449C9"/>
    <w:pPr>
      <w:spacing w:after="0" w:line="240" w:lineRule="auto"/>
    </w:pPr>
    <w:rPr>
      <w:sz w:val="22"/>
      <w:szCs w:val="22"/>
    </w:rPr>
  </w:style>
  <w:style w:type="character" w:customStyle="1" w:styleId="SinespaciadoCar">
    <w:name w:val="Sin espaciado Car"/>
    <w:basedOn w:val="Fuentedeprrafopredeter"/>
    <w:link w:val="Sinespaciado"/>
    <w:uiPriority w:val="1"/>
    <w:rsid w:val="00F449C9"/>
    <w:rPr>
      <w:sz w:val="22"/>
      <w:szCs w:val="22"/>
    </w:rPr>
  </w:style>
  <w:style w:type="table" w:styleId="Tablaconcuadrcula">
    <w:name w:val="Table Grid"/>
    <w:basedOn w:val="Tablanormal"/>
    <w:uiPriority w:val="39"/>
    <w:rsid w:val="00F449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501</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2026-03-20T14:43:00Z</dcterms:created>
  <dcterms:modified xsi:type="dcterms:W3CDTF">2026-03-20T15:34:00Z</dcterms:modified>
</cp:coreProperties>
</file>