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A05" w:rsidRDefault="00C70A05" w:rsidP="00C70A05">
      <w:pPr>
        <w:pStyle w:val="Sinespaciado"/>
        <w:jc w:val="both"/>
      </w:pPr>
    </w:p>
    <w:p w:rsidR="00C70A05" w:rsidRDefault="00C70A05" w:rsidP="00C70A05">
      <w:pPr>
        <w:jc w:val="both"/>
        <w:rPr>
          <w:rFonts w:asciiTheme="majorHAnsi" w:hAnsiTheme="majorHAnsi" w:cstheme="majorHAnsi"/>
          <w:b/>
        </w:rPr>
      </w:pPr>
    </w:p>
    <w:p w:rsidR="00C70A05" w:rsidRDefault="00C70A05" w:rsidP="00C70A05">
      <w:pPr>
        <w:jc w:val="both"/>
        <w:rPr>
          <w:rFonts w:asciiTheme="majorHAnsi" w:hAnsiTheme="majorHAnsi" w:cstheme="majorHAnsi"/>
          <w:b/>
        </w:rPr>
      </w:pPr>
    </w:p>
    <w:p w:rsidR="00C70A05" w:rsidRDefault="00C70A05" w:rsidP="00C70A05">
      <w:pPr>
        <w:pStyle w:val="Sinespaciado"/>
        <w:jc w:val="both"/>
        <w:rPr>
          <w:rFonts w:ascii="Arial" w:hAnsi="Arial" w:cs="Arial"/>
          <w:sz w:val="16"/>
          <w:szCs w:val="16"/>
        </w:rPr>
      </w:pPr>
    </w:p>
    <w:p w:rsidR="00C70A05" w:rsidRDefault="00C70A05" w:rsidP="00C70A05">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9629"/>
      </w:tblGrid>
      <w:tr w:rsidR="00C70A05" w:rsidTr="002C7297">
        <w:tc>
          <w:tcPr>
            <w:tcW w:w="9629" w:type="dxa"/>
          </w:tcPr>
          <w:p w:rsidR="00C70A05" w:rsidRPr="00EC72C3" w:rsidRDefault="00566089" w:rsidP="002C7297">
            <w:pPr>
              <w:pStyle w:val="Sinespaciado"/>
              <w:jc w:val="center"/>
              <w:rPr>
                <w:rFonts w:ascii="Arial" w:hAnsi="Arial" w:cs="Arial"/>
                <w:b/>
                <w:sz w:val="24"/>
                <w:szCs w:val="24"/>
              </w:rPr>
            </w:pPr>
            <w:r>
              <w:rPr>
                <w:rFonts w:ascii="Arial" w:hAnsi="Arial" w:cs="Arial"/>
                <w:b/>
                <w:sz w:val="24"/>
                <w:szCs w:val="24"/>
              </w:rPr>
              <w:t>NOVENA</w:t>
            </w:r>
            <w:r w:rsidR="00C70A05">
              <w:rPr>
                <w:rFonts w:ascii="Arial" w:hAnsi="Arial" w:cs="Arial"/>
                <w:b/>
                <w:sz w:val="24"/>
                <w:szCs w:val="24"/>
              </w:rPr>
              <w:t xml:space="preserve"> </w:t>
            </w:r>
            <w:r w:rsidR="00C70A05" w:rsidRPr="00EC72C3">
              <w:rPr>
                <w:rFonts w:ascii="Arial" w:hAnsi="Arial" w:cs="Arial"/>
                <w:b/>
                <w:sz w:val="24"/>
                <w:szCs w:val="24"/>
              </w:rPr>
              <w:t>SESIÓN ORDINARIA COMISIÓN EDILICIA PERMANENTE DE DESARROLLO ECONÓMICO Y TURISMO.</w:t>
            </w:r>
          </w:p>
        </w:tc>
      </w:tr>
    </w:tbl>
    <w:p w:rsidR="00C70A05" w:rsidRDefault="00C70A05" w:rsidP="00C70A05">
      <w:pPr>
        <w:pStyle w:val="Sinespaciado"/>
        <w:jc w:val="both"/>
        <w:rPr>
          <w:rFonts w:ascii="Arial" w:hAnsi="Arial" w:cs="Arial"/>
          <w:sz w:val="16"/>
          <w:szCs w:val="16"/>
        </w:rPr>
      </w:pPr>
    </w:p>
    <w:p w:rsidR="00C70A05" w:rsidRDefault="00C70A05" w:rsidP="00C70A05">
      <w:pPr>
        <w:pStyle w:val="Sinespaciado"/>
        <w:jc w:val="both"/>
        <w:rPr>
          <w:rFonts w:ascii="Arial" w:hAnsi="Arial" w:cs="Arial"/>
          <w:sz w:val="16"/>
          <w:szCs w:val="16"/>
        </w:rPr>
      </w:pPr>
    </w:p>
    <w:tbl>
      <w:tblPr>
        <w:tblStyle w:val="Tablaconcuadrcula"/>
        <w:tblW w:w="0" w:type="auto"/>
        <w:tblLook w:val="04A0" w:firstRow="1" w:lastRow="0" w:firstColumn="1" w:lastColumn="0" w:noHBand="0" w:noVBand="1"/>
      </w:tblPr>
      <w:tblGrid>
        <w:gridCol w:w="9629"/>
      </w:tblGrid>
      <w:tr w:rsidR="00C70A05" w:rsidTr="002C7297">
        <w:tc>
          <w:tcPr>
            <w:tcW w:w="9629" w:type="dxa"/>
          </w:tcPr>
          <w:p w:rsidR="00C70A05" w:rsidRPr="00EC72C3" w:rsidRDefault="00D2368C" w:rsidP="002C7297">
            <w:pPr>
              <w:pStyle w:val="Sinespaciado"/>
              <w:jc w:val="center"/>
              <w:rPr>
                <w:rFonts w:ascii="Arial" w:hAnsi="Arial" w:cs="Arial"/>
                <w:b/>
                <w:sz w:val="24"/>
                <w:szCs w:val="24"/>
              </w:rPr>
            </w:pPr>
            <w:r>
              <w:rPr>
                <w:rFonts w:ascii="Arial" w:hAnsi="Arial" w:cs="Arial"/>
                <w:b/>
                <w:sz w:val="24"/>
                <w:szCs w:val="24"/>
              </w:rPr>
              <w:t>ORDEN DEL DÍA</w:t>
            </w:r>
            <w:r w:rsidR="00C70A05">
              <w:rPr>
                <w:rFonts w:ascii="Arial" w:hAnsi="Arial" w:cs="Arial"/>
                <w:b/>
                <w:sz w:val="24"/>
                <w:szCs w:val="24"/>
              </w:rPr>
              <w:t xml:space="preserve">: </w:t>
            </w:r>
            <w:r w:rsidR="00C70A05">
              <w:rPr>
                <w:rFonts w:ascii="Arial" w:hAnsi="Arial" w:cs="Arial"/>
                <w:b/>
                <w:sz w:val="24"/>
                <w:szCs w:val="24"/>
              </w:rPr>
              <w:t xml:space="preserve"> </w:t>
            </w:r>
          </w:p>
        </w:tc>
      </w:tr>
    </w:tbl>
    <w:p w:rsidR="00C70A05" w:rsidRDefault="00C70A05" w:rsidP="00C70A05">
      <w:pPr>
        <w:pStyle w:val="Sinespaciado"/>
        <w:jc w:val="both"/>
        <w:rPr>
          <w:rFonts w:ascii="Arial" w:hAnsi="Arial" w:cs="Arial"/>
          <w:sz w:val="16"/>
          <w:szCs w:val="16"/>
        </w:rPr>
      </w:pPr>
    </w:p>
    <w:p w:rsidR="00D2368C" w:rsidRDefault="00D2368C" w:rsidP="00D2368C">
      <w:pPr>
        <w:spacing w:before="240" w:after="0" w:line="276" w:lineRule="auto"/>
        <w:jc w:val="both"/>
        <w:rPr>
          <w:rFonts w:ascii="Arial" w:eastAsia="Calibri" w:hAnsi="Arial" w:cs="Arial"/>
          <w:sz w:val="24"/>
          <w:szCs w:val="24"/>
        </w:rPr>
      </w:pPr>
      <w:r>
        <w:rPr>
          <w:rFonts w:ascii="Arial" w:hAnsi="Arial" w:cs="Arial"/>
          <w:b/>
          <w:sz w:val="24"/>
          <w:szCs w:val="24"/>
        </w:rPr>
        <w:t xml:space="preserve">1.- </w:t>
      </w:r>
      <w:r>
        <w:rPr>
          <w:rFonts w:ascii="Arial" w:hAnsi="Arial" w:cs="Arial"/>
          <w:sz w:val="24"/>
          <w:szCs w:val="24"/>
        </w:rPr>
        <w:t xml:space="preserve">Lista de asistencia </w:t>
      </w:r>
      <w:r w:rsidRPr="000F2CA9">
        <w:rPr>
          <w:rFonts w:ascii="Arial" w:eastAsia="Calibri" w:hAnsi="Arial" w:cs="Arial"/>
          <w:sz w:val="24"/>
          <w:szCs w:val="24"/>
        </w:rPr>
        <w:t>y verificación del Quorum legal y en su caso aprobación del orden del día.</w:t>
      </w:r>
    </w:p>
    <w:p w:rsidR="00D2368C" w:rsidRDefault="00D2368C" w:rsidP="00D2368C">
      <w:pPr>
        <w:spacing w:before="240" w:after="0" w:line="276" w:lineRule="auto"/>
        <w:jc w:val="both"/>
        <w:rPr>
          <w:rFonts w:ascii="Arial" w:eastAsia="Calibri" w:hAnsi="Arial" w:cs="Arial"/>
          <w:sz w:val="24"/>
          <w:szCs w:val="24"/>
        </w:rPr>
      </w:pPr>
      <w:r>
        <w:rPr>
          <w:rFonts w:ascii="Arial" w:eastAsia="Calibri" w:hAnsi="Arial" w:cs="Arial"/>
          <w:b/>
          <w:sz w:val="24"/>
          <w:szCs w:val="24"/>
        </w:rPr>
        <w:t xml:space="preserve">2.- </w:t>
      </w:r>
      <w:r>
        <w:rPr>
          <w:rFonts w:ascii="Arial" w:eastAsia="Calibri" w:hAnsi="Arial" w:cs="Arial"/>
          <w:sz w:val="24"/>
          <w:szCs w:val="24"/>
        </w:rPr>
        <w:t xml:space="preserve">Estudio, análisis y en su caso aprobación de la solicitud de los aspirantes a becas conforme a lo que dispone la convocatoria reglas de operación del programa becas para el entrenamiento y capacitación para la industria de videojuegos y la animación en su punto QUINTA que a la letra señala: </w:t>
      </w:r>
    </w:p>
    <w:p w:rsidR="00D2368C" w:rsidRDefault="00D2368C" w:rsidP="00D2368C">
      <w:pPr>
        <w:spacing w:before="240" w:after="0" w:line="276" w:lineRule="auto"/>
        <w:jc w:val="both"/>
        <w:rPr>
          <w:rFonts w:ascii="Arial" w:eastAsia="Calibri" w:hAnsi="Arial" w:cs="Arial"/>
          <w:sz w:val="24"/>
          <w:szCs w:val="24"/>
        </w:rPr>
      </w:pPr>
      <w:r w:rsidRPr="00BA6F12">
        <w:rPr>
          <w:rFonts w:ascii="Arial" w:eastAsia="Calibri" w:hAnsi="Arial" w:cs="Arial"/>
          <w:b/>
          <w:sz w:val="24"/>
          <w:szCs w:val="24"/>
        </w:rPr>
        <w:t>“Evaluación de solicitudes.</w:t>
      </w:r>
      <w:r>
        <w:rPr>
          <w:rFonts w:ascii="Arial" w:eastAsia="Calibri" w:hAnsi="Arial" w:cs="Arial"/>
          <w:sz w:val="24"/>
          <w:szCs w:val="24"/>
        </w:rPr>
        <w:t xml:space="preserve"> La Dirección General de Desarrollo Económico Turístico y Agropecuario será la encargada de revisar algún faltante requisito de las solicitudes entregadas por las universidades, determinó cuáles cumplen con los requisitos expedidos en la regla de operación para posteriormente entregar  antes del día 24 de abril a las Comisiones Edilicias de Desarrollo Económico y Turismo y la Comisión Edilicia de Ciencia Innovación y Tecnología y para que sesione y determine quiénes serán las personas beneficiadas”</w:t>
      </w:r>
    </w:p>
    <w:p w:rsidR="00D2368C" w:rsidRDefault="00D2368C" w:rsidP="00D2368C">
      <w:pPr>
        <w:spacing w:before="240" w:after="0" w:line="276" w:lineRule="auto"/>
        <w:jc w:val="both"/>
        <w:rPr>
          <w:rFonts w:ascii="Arial" w:eastAsia="Calibri" w:hAnsi="Arial" w:cs="Arial"/>
          <w:sz w:val="24"/>
          <w:szCs w:val="24"/>
        </w:rPr>
      </w:pPr>
      <w:r>
        <w:rPr>
          <w:rFonts w:ascii="Arial" w:eastAsia="Calibri" w:hAnsi="Arial" w:cs="Arial"/>
          <w:b/>
          <w:sz w:val="24"/>
          <w:szCs w:val="24"/>
        </w:rPr>
        <w:t>3.-</w:t>
      </w:r>
      <w:r>
        <w:rPr>
          <w:rFonts w:ascii="Arial" w:eastAsia="Calibri" w:hAnsi="Arial" w:cs="Arial"/>
          <w:sz w:val="24"/>
          <w:szCs w:val="24"/>
        </w:rPr>
        <w:t>Asuntos Varios.</w:t>
      </w:r>
    </w:p>
    <w:p w:rsidR="00D2368C" w:rsidRDefault="00D2368C" w:rsidP="00D2368C">
      <w:pPr>
        <w:spacing w:before="240" w:after="0" w:line="276" w:lineRule="auto"/>
        <w:jc w:val="both"/>
        <w:rPr>
          <w:rFonts w:ascii="Arial" w:eastAsia="Calibri" w:hAnsi="Arial" w:cs="Arial"/>
          <w:sz w:val="24"/>
          <w:szCs w:val="24"/>
        </w:rPr>
      </w:pPr>
      <w:r>
        <w:rPr>
          <w:rFonts w:ascii="Arial" w:eastAsia="Calibri" w:hAnsi="Arial" w:cs="Arial"/>
          <w:b/>
          <w:sz w:val="24"/>
          <w:szCs w:val="24"/>
        </w:rPr>
        <w:t>4.-</w:t>
      </w:r>
      <w:r>
        <w:rPr>
          <w:rFonts w:ascii="Arial" w:eastAsia="Calibri" w:hAnsi="Arial" w:cs="Arial"/>
          <w:sz w:val="24"/>
          <w:szCs w:val="24"/>
        </w:rPr>
        <w:t>Clausura.</w:t>
      </w:r>
    </w:p>
    <w:p w:rsidR="00566089" w:rsidRDefault="00566089" w:rsidP="00566089">
      <w:pPr>
        <w:spacing w:before="240" w:after="0" w:line="276" w:lineRule="auto"/>
        <w:ind w:right="-518"/>
        <w:jc w:val="both"/>
        <w:rPr>
          <w:rFonts w:ascii="Arial" w:eastAsia="Times New Roman" w:hAnsi="Arial" w:cs="Arial"/>
          <w:i/>
          <w:sz w:val="24"/>
          <w:szCs w:val="18"/>
          <w:lang w:eastAsia="es-MX"/>
        </w:rPr>
      </w:pPr>
      <w:bookmarkStart w:id="0" w:name="_GoBack"/>
      <w:bookmarkEnd w:id="0"/>
    </w:p>
    <w:p w:rsidR="00566089" w:rsidRDefault="00566089" w:rsidP="00566089">
      <w:pPr>
        <w:spacing w:before="240" w:after="0" w:line="276" w:lineRule="auto"/>
        <w:ind w:right="-518"/>
        <w:jc w:val="both"/>
        <w:rPr>
          <w:rFonts w:ascii="Arial" w:eastAsia="Times New Roman" w:hAnsi="Arial" w:cs="Arial"/>
          <w:i/>
          <w:sz w:val="24"/>
          <w:szCs w:val="18"/>
          <w:lang w:eastAsia="es-MX"/>
        </w:rPr>
      </w:pPr>
    </w:p>
    <w:p w:rsidR="00C70A05" w:rsidRPr="00FE2976" w:rsidRDefault="00C70A05" w:rsidP="00C70A05">
      <w:pPr>
        <w:rPr>
          <w:sz w:val="24"/>
          <w:szCs w:val="24"/>
        </w:rPr>
      </w:pPr>
    </w:p>
    <w:p w:rsidR="00C70A05" w:rsidRDefault="00C70A05" w:rsidP="00C70A05"/>
    <w:p w:rsidR="00C70A05" w:rsidRPr="00C70A05" w:rsidRDefault="00C70A05" w:rsidP="00C70A05">
      <w:pPr>
        <w:rPr>
          <w:rFonts w:ascii="Arial" w:hAnsi="Arial" w:cs="Arial"/>
          <w:sz w:val="16"/>
          <w:szCs w:val="16"/>
        </w:rPr>
      </w:pPr>
      <w:r>
        <w:t>*</w:t>
      </w: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rsidR="004C2AF2" w:rsidRDefault="004C2AF2"/>
    <w:sectPr w:rsidR="004C2AF2" w:rsidSect="00F97B38">
      <w:headerReference w:type="default" r:id="rId4"/>
      <w:footerReference w:type="default" r:id="rId5"/>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38" w:rsidRDefault="00D2368C">
    <w:pPr>
      <w:pStyle w:val="Piedepgina"/>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38" w:rsidRPr="00F97B38" w:rsidRDefault="00D2368C" w:rsidP="00F97B38">
    <w:pPr>
      <w:pStyle w:val="Encabezado"/>
      <w:jc w:val="center"/>
    </w:pPr>
    <w:r>
      <w:rPr>
        <w:noProof/>
        <w:lang w:eastAsia="es-MX"/>
      </w:rPr>
      <w:drawing>
        <wp:anchor distT="0" distB="0" distL="114300" distR="114300" simplePos="0" relativeHeight="251659264" behindDoc="1" locked="0" layoutInCell="1" allowOverlap="1" wp14:anchorId="53A6D2FA" wp14:editId="41F89DBC">
          <wp:simplePos x="0" y="0"/>
          <wp:positionH relativeFrom="margin">
            <wp:align>right</wp:align>
          </wp:positionH>
          <wp:positionV relativeFrom="paragraph">
            <wp:posOffset>-229235</wp:posOffset>
          </wp:positionV>
          <wp:extent cx="2628900" cy="904875"/>
          <wp:effectExtent l="0" t="0" r="0" b="9525"/>
          <wp:wrapSquare wrapText="bothSides"/>
          <wp:docPr id="18" name="Imagen 18"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525" t="13144" r="10954" b="67844"/>
                  <a:stretch/>
                </pic:blipFill>
                <pic:spPr bwMode="auto">
                  <a:xfrm>
                    <a:off x="0" y="0"/>
                    <a:ext cx="2628900"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05"/>
    <w:rsid w:val="004C2AF2"/>
    <w:rsid w:val="00566089"/>
    <w:rsid w:val="00C70A05"/>
    <w:rsid w:val="00D236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D11DBA"/>
  <w15:chartTrackingRefBased/>
  <w15:docId w15:val="{0EA29428-86A8-4AE6-8951-5BBAE1FB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A0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C70A05"/>
    <w:pPr>
      <w:spacing w:after="0" w:line="240" w:lineRule="auto"/>
    </w:pPr>
  </w:style>
  <w:style w:type="table" w:styleId="Tablaconcuadrcula">
    <w:name w:val="Table Grid"/>
    <w:basedOn w:val="Tablanormal"/>
    <w:uiPriority w:val="39"/>
    <w:rsid w:val="00C70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C70A05"/>
  </w:style>
  <w:style w:type="paragraph" w:styleId="Encabezado">
    <w:name w:val="header"/>
    <w:basedOn w:val="Normal"/>
    <w:link w:val="EncabezadoCar"/>
    <w:uiPriority w:val="99"/>
    <w:unhideWhenUsed/>
    <w:rsid w:val="00C70A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0A05"/>
  </w:style>
  <w:style w:type="paragraph" w:styleId="Piedepgina">
    <w:name w:val="footer"/>
    <w:basedOn w:val="Normal"/>
    <w:link w:val="PiedepginaCar"/>
    <w:uiPriority w:val="99"/>
    <w:unhideWhenUsed/>
    <w:rsid w:val="00C70A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934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2023-06-06T15:52:00Z</cp:lastPrinted>
  <dcterms:created xsi:type="dcterms:W3CDTF">2023-06-06T17:17:00Z</dcterms:created>
  <dcterms:modified xsi:type="dcterms:W3CDTF">2023-06-06T17:17:00Z</dcterms:modified>
</cp:coreProperties>
</file>