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E93" w:rsidRPr="00B74B6E" w:rsidRDefault="00601E93" w:rsidP="00601E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REPORTE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601E93" w:rsidRPr="00B74B6E" w:rsidRDefault="00601E93" w:rsidP="00601E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SEPTIEMBRE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DE 2015</w:t>
      </w:r>
    </w:p>
    <w:p w:rsidR="00601E93" w:rsidRPr="00B74B6E" w:rsidRDefault="00601E93" w:rsidP="00601E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</w:p>
    <w:p w:rsidR="00601E93" w:rsidRPr="00B74B6E" w:rsidRDefault="00601E93" w:rsidP="00601E93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REPORTE DEL 01 AL 3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0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SEPTIEMBRE</w:t>
      </w:r>
    </w:p>
    <w:p w:rsidR="00601E93" w:rsidRPr="00B74B6E" w:rsidRDefault="00601E93" w:rsidP="00601E93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</w:p>
    <w:p w:rsidR="00601E93" w:rsidRPr="00B74B6E" w:rsidRDefault="00601E93" w:rsidP="00404842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SE ATENDIERON                           </w:t>
      </w:r>
      <w:r w:rsidR="00A206A0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765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REPORTES</w:t>
      </w:r>
    </w:p>
    <w:p w:rsidR="00601E93" w:rsidRDefault="00601E93" w:rsidP="00601E93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SE RESOLVIERON                        </w:t>
      </w:r>
      <w:r w:rsidR="00A206A0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728 R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EPORTES</w:t>
      </w:r>
    </w:p>
    <w:p w:rsidR="00601E93" w:rsidRPr="00B74B6E" w:rsidRDefault="00601E93" w:rsidP="00601E93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PENDIENTES                             </w:t>
      </w:r>
      <w:r w:rsidR="00A206A0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      37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FALTA DE MATERIAL</w:t>
      </w:r>
    </w:p>
    <w:p w:rsidR="00601E93" w:rsidRPr="00B74B6E" w:rsidRDefault="00601E93" w:rsidP="00404842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  <w:t>C</w:t>
      </w:r>
      <w:r w:rsidR="00A206A0"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  <w:t>IRCUITOS RESTABLECIDOS</w:t>
      </w:r>
      <w:r w:rsidR="00404842"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  <w:t xml:space="preserve">  </w:t>
      </w:r>
      <w:r w:rsidR="00A206A0"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  <w:t xml:space="preserve">  </w:t>
      </w:r>
      <w:r w:rsidR="00404842"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  <w:t xml:space="preserve">  </w:t>
      </w:r>
      <w:r w:rsidR="00A206A0"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  <w:t xml:space="preserve"> 44</w:t>
      </w:r>
    </w:p>
    <w:p w:rsidR="00601E93" w:rsidRPr="00B74B6E" w:rsidRDefault="00601E93" w:rsidP="00601E93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</w:pPr>
    </w:p>
    <w:p w:rsidR="00601E93" w:rsidRPr="00B74B6E" w:rsidRDefault="00601E93" w:rsidP="00601E93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</w:pPr>
    </w:p>
    <w:p w:rsidR="00601E93" w:rsidRPr="00B74B6E" w:rsidRDefault="00601E93" w:rsidP="00601E93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601E93" w:rsidRPr="00B74B6E" w:rsidRDefault="00601E93" w:rsidP="00601E93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601E93" w:rsidRPr="00601E93" w:rsidRDefault="00601E93" w:rsidP="00601E9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601E93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recogieron 3 lámparas en C.F.E. que quitaro</w:t>
      </w:r>
      <w:r w:rsidR="00A206A0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n por cambio de postes y líneas y se dio mantenimiento</w:t>
      </w:r>
    </w:p>
    <w:p w:rsidR="00601E93" w:rsidRPr="00D332F8" w:rsidRDefault="00601E93" w:rsidP="00601E9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</w:t>
      </w:r>
      <w:r w:rsidR="00D332F8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paración y colocación de adornos patrios en fachada de Presidencia, para el 15 de Septiembre Grito de Independencia.</w:t>
      </w:r>
    </w:p>
    <w:p w:rsidR="00D332F8" w:rsidRPr="00A206A0" w:rsidRDefault="00D332F8" w:rsidP="00601E9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repararon 4 reflectores en Jardín 5 de Mayo frente a Presidencia y 2 lámparas farol.</w:t>
      </w:r>
    </w:p>
    <w:p w:rsidR="00A206A0" w:rsidRPr="00053AEC" w:rsidRDefault="00A206A0" w:rsidP="00601E9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Reparación de </w:t>
      </w:r>
      <w:r w:rsidR="00053AE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adornos en bodega y 4 reflectores de 400 W </w:t>
      </w:r>
    </w:p>
    <w:p w:rsidR="00053AEC" w:rsidRPr="00053AEC" w:rsidRDefault="00053AEC" w:rsidP="00601E9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Reparación de farol en el Jardín 5 de Mayo.</w:t>
      </w:r>
    </w:p>
    <w:p w:rsidR="00975BE7" w:rsidRPr="00975BE7" w:rsidRDefault="00975BE7" w:rsidP="00601E9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Cambio de 14 focos ahorradores</w:t>
      </w:r>
      <w:r w:rsidR="004048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dañados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Portal Fray Juan de Padilla </w:t>
      </w:r>
      <w:r w:rsidR="004048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evento del Grito de Independencia y se hizo guardia.</w:t>
      </w:r>
    </w:p>
    <w:p w:rsidR="00975BE7" w:rsidRPr="009B6A8A" w:rsidRDefault="00975BE7" w:rsidP="00601E9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</w:t>
      </w:r>
      <w:r w:rsidR="004048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 canalizo para poner manguera, cablear y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alimentar los mini postes del camellón de la Calzada. Madero y Carranza.</w:t>
      </w:r>
    </w:p>
    <w:p w:rsidR="009B6A8A" w:rsidRPr="00975BE7" w:rsidRDefault="009B6A8A" w:rsidP="00601E9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Reparación de figuras patrias en fachada d</w:t>
      </w:r>
      <w:r w:rsidR="0040484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 Presidencia (cambio de focos), que se dañaron por la lluvia.</w:t>
      </w:r>
    </w:p>
    <w:p w:rsidR="00975BE7" w:rsidRPr="00975BE7" w:rsidRDefault="00975BE7" w:rsidP="00601E9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Localización y reparación de corto circuito en líneas de alumbrado con C.F.E. el día domingo 20 de Septiembre en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la</w:t>
      </w:r>
      <w:proofErr w:type="gram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Col. Francisco y Madero.</w:t>
      </w:r>
    </w:p>
    <w:p w:rsidR="00975BE7" w:rsidRPr="00975BE7" w:rsidRDefault="00975BE7" w:rsidP="00601E9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recogió poste dañado por accidente en la academia de Policía de choque en Reforma y Guerrero.</w:t>
      </w:r>
    </w:p>
    <w:p w:rsidR="00975BE7" w:rsidRPr="00975BE7" w:rsidRDefault="00975BE7" w:rsidP="00601E9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Colocación de 4 reflectores de 1,000 W para evento en Plaza Las Fuentes.</w:t>
      </w:r>
    </w:p>
    <w:p w:rsidR="00975BE7" w:rsidRPr="00D332F8" w:rsidRDefault="00975BE7" w:rsidP="00601E93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Retiro de línea de Alumbrado y alambre galvanizado en el Jardín 5 de Mayo frente a Presidencia, que estorbaba para poner poste de los voladores de Papantla.</w:t>
      </w:r>
    </w:p>
    <w:p w:rsidR="00D332F8" w:rsidRDefault="00D332F8" w:rsidP="00D332F8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F478AB" w:rsidRDefault="00F478AB" w:rsidP="00D332F8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F478AB" w:rsidRPr="00601E93" w:rsidRDefault="00F478AB" w:rsidP="00D332F8">
      <w:pPr>
        <w:spacing w:after="0" w:line="240" w:lineRule="auto"/>
        <w:ind w:left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601E93" w:rsidRPr="00B74B6E" w:rsidRDefault="00601E93" w:rsidP="00601E93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lastRenderedPageBreak/>
        <w:t>Apoyos a  jefaturas:</w:t>
      </w:r>
    </w:p>
    <w:p w:rsidR="00601E93" w:rsidRPr="00404842" w:rsidRDefault="00D332F8" w:rsidP="00601E9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Instalación de </w:t>
      </w:r>
      <w:r w:rsidR="009B6A8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6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00 M. líneas,</w:t>
      </w:r>
      <w:r w:rsidR="009B6A8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para contactos y focos en toldos con acometida 60 Mts. Cable 4x8, 48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contactos y focos, 1</w:t>
      </w:r>
      <w:r w:rsidR="009B6A8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5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soquet </w:t>
      </w:r>
      <w:r w:rsidR="009B6A8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interruptores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Plaza Las Fuentes </w:t>
      </w:r>
      <w:r w:rsidR="009B6A8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 el Jardín 5 de Mayo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y se hizo guardia los días 11, 12 y 13 de Septiembre</w:t>
      </w:r>
      <w:r w:rsidR="00601E93" w:rsidRPr="00B74B6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404842" w:rsidRPr="00053AEC" w:rsidRDefault="00404842" w:rsidP="004048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Instalación de 2 reflectores de 1,000 w y 400 w en Plaza Las Fuentes para evento de la Feria de La Birria 2015.</w:t>
      </w:r>
    </w:p>
    <w:p w:rsidR="00F478AB" w:rsidRPr="00975BE7" w:rsidRDefault="00F478AB" w:rsidP="00F478A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hizo guardia en el evento de la Feria de la Birria 2015 los días: viernes, sábado y domingo en Plaza Las Fuentes.</w:t>
      </w:r>
    </w:p>
    <w:p w:rsidR="00404842" w:rsidRPr="00B74B6E" w:rsidRDefault="00404842" w:rsidP="00F478AB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 xml:space="preserve"> </w:t>
      </w:r>
    </w:p>
    <w:p w:rsidR="00601E93" w:rsidRDefault="00601E93" w:rsidP="00601E93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Apoyos externos</w:t>
      </w:r>
    </w:p>
    <w:p w:rsidR="00EB6E87" w:rsidRDefault="00EB6E87" w:rsidP="00EB6E87">
      <w:pPr>
        <w:pStyle w:val="Prrafodelista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Colocación y conexión de reflector de 400 W para la danza en calle Carmen </w:t>
      </w:r>
      <w:r w:rsidR="007635D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Serdán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# 40 en la Col. Revolución.</w:t>
      </w:r>
    </w:p>
    <w:p w:rsidR="00EB6E87" w:rsidRPr="00EB6E87" w:rsidRDefault="00EB6E87" w:rsidP="00EB6E87">
      <w:pPr>
        <w:pStyle w:val="Prrafodelista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 conectar extensiones en el Jardín Principal 5 de Mayo para los puestos en la Expo de la Construcción.</w:t>
      </w:r>
    </w:p>
    <w:p w:rsidR="00601E93" w:rsidRPr="00B74B6E" w:rsidRDefault="00601E93" w:rsidP="00601E93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601E93" w:rsidRDefault="00601E93" w:rsidP="00601E93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Se repararon circuitos de alumbrado público:</w:t>
      </w:r>
    </w:p>
    <w:p w:rsidR="009B6A8A" w:rsidRPr="009B6A8A" w:rsidRDefault="009B6A8A" w:rsidP="009B6A8A">
      <w:pPr>
        <w:pStyle w:val="Prrafodelista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9B6A8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Cruz Roja, Médico, Honor y Justicia, 19 de Septiembre, Cruz Roja 29 Col. San Cayetano,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Col. </w:t>
      </w:r>
      <w:r w:rsidR="007635D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Jardines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del Sol (Esteban </w:t>
      </w:r>
      <w:r w:rsidR="007635D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Cibrián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), Bugambilias (Canario), Col. Unión (Puerto de Manzanillo), </w:t>
      </w:r>
      <w:r w:rsidR="00C75636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Col. Miguel Hidalgo (Grito de Libertad),</w:t>
      </w:r>
      <w:r w:rsidR="007635D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Ingreso Norte (Gasera), Manuel Chávez Madrueño, C.B.T.i.s., Camichines, Rancho El Quemado, Loma Bonita, Hacienda, Parque las Peñas, Los Depósitos, Camino al Tecnológico,</w:t>
      </w:r>
      <w:r w:rsidR="00C75636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 w:rsidR="007635D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Valle del Sol, Soli La Paz (Zapotiltic), Paseos del Sol, C.T.M., Calzada Madero y Carranza, Fraccionamiento Viveros, Gándara Estrada, Francisco I. Madero, Pastor de Arriba (Cuba), Ingreso Poniente (Gasolinera), Plaza Las Fuentes.</w:t>
      </w:r>
    </w:p>
    <w:p w:rsidR="009B6A8A" w:rsidRPr="009B6A8A" w:rsidRDefault="009B6A8A" w:rsidP="009B6A8A">
      <w:pPr>
        <w:pStyle w:val="Prrafodelista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601E93" w:rsidRDefault="00EB6E87" w:rsidP="00601E93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Instalación de lámparas nuevas</w:t>
      </w:r>
    </w:p>
    <w:p w:rsidR="00EB6E87" w:rsidRPr="00EB6E87" w:rsidRDefault="00EB6E87" w:rsidP="00EB6E87">
      <w:pPr>
        <w:pStyle w:val="Prrafodelista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Instalación de poste y lámpara completa en calle S/Nombre en la Col. Pueblos de Jalisco</w:t>
      </w:r>
    </w:p>
    <w:p w:rsidR="00601E93" w:rsidRPr="00B74B6E" w:rsidRDefault="00601E93" w:rsidP="00601E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Reinstalación de lámparas que retiro C.F.E. por cambio de postes y líneas.</w:t>
      </w:r>
    </w:p>
    <w:p w:rsidR="00601E93" w:rsidRPr="00B74B6E" w:rsidRDefault="00601E93" w:rsidP="00601E9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601E93" w:rsidRDefault="00601E93" w:rsidP="00601E9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Reinstalación de </w:t>
      </w:r>
      <w:r w:rsidR="000B7081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2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lámpara</w:t>
      </w:r>
      <w:r w:rsidR="000B7081">
        <w:rPr>
          <w:rFonts w:ascii="Arial" w:eastAsia="Times New Roman" w:hAnsi="Arial" w:cs="Arial"/>
          <w:b/>
          <w:sz w:val="24"/>
          <w:szCs w:val="24"/>
          <w:lang w:val="es-ES" w:eastAsia="es-ES"/>
        </w:rPr>
        <w:t>s que quito C.F.E. por cambio de postes en Allende # 106 y 92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EB6E87" w:rsidRDefault="00EB6E87" w:rsidP="00601E9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Reinstalación de 1 lámpara completa en Allende # 164</w:t>
      </w:r>
    </w:p>
    <w:p w:rsidR="00EB6E87" w:rsidRDefault="00404842" w:rsidP="00601E93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Reinstalación de 1 lámpara completa en Tlaloc 11 Col. Jardines de Zapotlán.</w:t>
      </w:r>
    </w:p>
    <w:p w:rsidR="00601E93" w:rsidRPr="00B74B6E" w:rsidRDefault="00601E93" w:rsidP="00601E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601E93" w:rsidRPr="00B74B6E" w:rsidRDefault="00601E93" w:rsidP="00601E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8"/>
          <w:szCs w:val="18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18"/>
          <w:szCs w:val="18"/>
          <w:lang w:val="es-ES" w:eastAsia="es-ES"/>
        </w:rPr>
        <w:t>“SUFRAGIO EFECTIVO, NO REELECCIÓN”</w:t>
      </w:r>
    </w:p>
    <w:p w:rsidR="00601E93" w:rsidRPr="00B74B6E" w:rsidRDefault="00601E93" w:rsidP="00601E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18"/>
          <w:szCs w:val="18"/>
          <w:lang w:val="es-ES" w:eastAsia="es-ES"/>
        </w:rPr>
        <w:t>“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2014, CENTENARIO DE LA TERCERA DECLARACIÓN COMO CAPITAL DEL ESTADO DE JALISCO A CIUDAD GUZMÁN”</w:t>
      </w:r>
    </w:p>
    <w:p w:rsidR="00601E93" w:rsidRPr="00B74B6E" w:rsidRDefault="00601E93" w:rsidP="00601E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 w:rsidR="007635D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05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="007635D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Octubre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2015</w:t>
      </w:r>
    </w:p>
    <w:p w:rsidR="00601E93" w:rsidRPr="00B74B6E" w:rsidRDefault="00601E93" w:rsidP="00601E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601E93" w:rsidRPr="00B74B6E" w:rsidRDefault="00601E93" w:rsidP="00601E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601E93" w:rsidRPr="00B74B6E" w:rsidRDefault="007635DE" w:rsidP="00601E9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ING. JOSÉ ERNESTO LÓPEZ BERUMEN</w:t>
      </w:r>
    </w:p>
    <w:p w:rsidR="00601E93" w:rsidRPr="00B74B6E" w:rsidRDefault="00601E93" w:rsidP="00601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JEFE DE ALUMBRADO PÚBLICO</w:t>
      </w:r>
    </w:p>
    <w:p w:rsidR="00601E93" w:rsidRPr="00B74B6E" w:rsidRDefault="00601E93" w:rsidP="00601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01E93" w:rsidRPr="00B74B6E" w:rsidRDefault="00601E93" w:rsidP="00601E93">
      <w:pPr>
        <w:rPr>
          <w:lang w:val="es-ES"/>
        </w:rPr>
      </w:pPr>
    </w:p>
    <w:p w:rsidR="004D0A7A" w:rsidRPr="00601E93" w:rsidRDefault="004D0A7A">
      <w:pPr>
        <w:rPr>
          <w:lang w:val="es-ES"/>
        </w:rPr>
      </w:pPr>
    </w:p>
    <w:sectPr w:rsidR="004D0A7A" w:rsidRPr="00601E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352"/>
    <w:multiLevelType w:val="hybridMultilevel"/>
    <w:tmpl w:val="A33CD14A"/>
    <w:lvl w:ilvl="0" w:tplc="08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0E55011B"/>
    <w:multiLevelType w:val="hybridMultilevel"/>
    <w:tmpl w:val="50F05E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13255"/>
    <w:multiLevelType w:val="hybridMultilevel"/>
    <w:tmpl w:val="58CAC7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0E6FE2"/>
    <w:multiLevelType w:val="hybridMultilevel"/>
    <w:tmpl w:val="0576D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0431F"/>
    <w:multiLevelType w:val="hybridMultilevel"/>
    <w:tmpl w:val="76620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F2440"/>
    <w:multiLevelType w:val="hybridMultilevel"/>
    <w:tmpl w:val="CF14C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C30BE"/>
    <w:multiLevelType w:val="hybridMultilevel"/>
    <w:tmpl w:val="2A3ED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C7518"/>
    <w:multiLevelType w:val="hybridMultilevel"/>
    <w:tmpl w:val="548859A4"/>
    <w:lvl w:ilvl="0" w:tplc="6B6A6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7D5DA8"/>
    <w:multiLevelType w:val="hybridMultilevel"/>
    <w:tmpl w:val="7062FE6C"/>
    <w:lvl w:ilvl="0" w:tplc="09C67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E59F2"/>
    <w:multiLevelType w:val="hybridMultilevel"/>
    <w:tmpl w:val="A300E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93"/>
    <w:rsid w:val="00053AEC"/>
    <w:rsid w:val="000B7081"/>
    <w:rsid w:val="00197283"/>
    <w:rsid w:val="00404842"/>
    <w:rsid w:val="004D0A7A"/>
    <w:rsid w:val="00601E93"/>
    <w:rsid w:val="007635DE"/>
    <w:rsid w:val="00975BE7"/>
    <w:rsid w:val="009B6A8A"/>
    <w:rsid w:val="00A206A0"/>
    <w:rsid w:val="00C75636"/>
    <w:rsid w:val="00D332F8"/>
    <w:rsid w:val="00EB6E87"/>
    <w:rsid w:val="00F4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E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E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6E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0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4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F0DA-3285-4831-88C1-C1958BC0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568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Liliana Juarez Guzman</dc:creator>
  <cp:lastModifiedBy>Sandra Liliana Juarez Guzman</cp:lastModifiedBy>
  <cp:revision>2</cp:revision>
  <cp:lastPrinted>2015-10-05T18:10:00Z</cp:lastPrinted>
  <dcterms:created xsi:type="dcterms:W3CDTF">2015-09-21T14:20:00Z</dcterms:created>
  <dcterms:modified xsi:type="dcterms:W3CDTF">2015-10-05T18:10:00Z</dcterms:modified>
</cp:coreProperties>
</file>