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C" w:rsidRPr="007E5A50" w:rsidRDefault="001F2DFC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120BC3" w:rsidRPr="007E5A50" w:rsidRDefault="00120BC3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sz w:val="24"/>
          <w:szCs w:val="24"/>
          <w:lang w:val="es-MX"/>
        </w:rPr>
        <w:t xml:space="preserve">MIEMBROS DEL HONORABLE AYUNTAMIENTO </w:t>
      </w:r>
    </w:p>
    <w:p w:rsidR="00120BC3" w:rsidRPr="007E5A50" w:rsidRDefault="00120BC3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sz w:val="24"/>
          <w:szCs w:val="24"/>
          <w:lang w:val="es-MX"/>
        </w:rPr>
        <w:t>DE ZAPOTLÁN EL GRANDE, JALISCO.</w:t>
      </w:r>
    </w:p>
    <w:p w:rsidR="00120BC3" w:rsidRPr="007E5A50" w:rsidRDefault="00120BC3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sz w:val="24"/>
          <w:szCs w:val="24"/>
          <w:lang w:val="es-MX"/>
        </w:rPr>
        <w:t>P R E S E N T E.</w:t>
      </w:r>
    </w:p>
    <w:p w:rsidR="001F2DFC" w:rsidRDefault="001F2DFC" w:rsidP="007E5A50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AB6FAA" w:rsidRPr="007E5A50" w:rsidRDefault="00120BC3" w:rsidP="007E5A50">
      <w:pPr>
        <w:spacing w:line="276" w:lineRule="auto"/>
        <w:jc w:val="both"/>
        <w:rPr>
          <w:rFonts w:ascii="Verdana" w:hAnsi="Verdana" w:cstheme="minorHAnsi"/>
          <w:bCs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sz w:val="24"/>
          <w:szCs w:val="24"/>
          <w:lang w:val="es-MX"/>
        </w:rPr>
        <w:t xml:space="preserve">MTRO. NOÉ SAÚL RAMOS GARCÍA, </w:t>
      </w:r>
      <w:r w:rsidRPr="007E5A50">
        <w:rPr>
          <w:rFonts w:ascii="Verdana" w:hAnsi="Verdana" w:cs="Tahoma"/>
          <w:sz w:val="24"/>
          <w:szCs w:val="24"/>
          <w:lang w:val="es-MX"/>
        </w:rPr>
        <w:t xml:space="preserve">en mi calidad de Regidor de este Ayuntamiento de Zapotlán el Grande, Jalisco y con fundamento en los artículos: 115 fracción I, primer párrafo así como la fracción II de la Constitución Política de los Estados Unidos Mexicanos; numerales 1, 2, 3, </w:t>
      </w:r>
      <w:r w:rsidR="00F66623" w:rsidRPr="007E5A50">
        <w:rPr>
          <w:rFonts w:ascii="Verdana" w:hAnsi="Verdana" w:cs="Tahoma"/>
          <w:sz w:val="24"/>
          <w:szCs w:val="24"/>
          <w:lang w:val="es-MX"/>
        </w:rPr>
        <w:t xml:space="preserve">4, 73, 77, 78, 85, </w:t>
      </w:r>
      <w:r w:rsidRPr="007E5A50">
        <w:rPr>
          <w:rFonts w:ascii="Verdana" w:hAnsi="Verdana" w:cs="Tahoma"/>
          <w:sz w:val="24"/>
          <w:szCs w:val="24"/>
          <w:lang w:val="es-MX"/>
        </w:rPr>
        <w:t>y demás relativos de la Constitución Política</w:t>
      </w:r>
      <w:r w:rsidR="00831456" w:rsidRPr="007E5A50">
        <w:rPr>
          <w:rFonts w:ascii="Verdana" w:hAnsi="Verdana" w:cs="Tahoma"/>
          <w:sz w:val="24"/>
          <w:szCs w:val="24"/>
          <w:lang w:val="es-MX"/>
        </w:rPr>
        <w:t xml:space="preserve"> del Estado de Jalisco; 1, 2, 3, </w:t>
      </w:r>
      <w:r w:rsidRPr="007E5A50">
        <w:rPr>
          <w:rFonts w:ascii="Verdana" w:hAnsi="Verdana" w:cs="Tahoma"/>
          <w:sz w:val="24"/>
          <w:szCs w:val="24"/>
          <w:lang w:val="es-MX"/>
        </w:rPr>
        <w:t xml:space="preserve">10, </w:t>
      </w:r>
      <w:r w:rsidR="00F66623" w:rsidRPr="007E5A50">
        <w:rPr>
          <w:rFonts w:ascii="Verdana" w:hAnsi="Verdana" w:cs="Tahoma"/>
          <w:sz w:val="24"/>
          <w:szCs w:val="24"/>
          <w:lang w:val="es-MX"/>
        </w:rPr>
        <w:t xml:space="preserve">38, 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40, </w:t>
      </w:r>
      <w:r w:rsidRPr="007E5A50">
        <w:rPr>
          <w:rFonts w:ascii="Verdana" w:hAnsi="Verdana" w:cs="Tahoma"/>
          <w:sz w:val="24"/>
          <w:szCs w:val="24"/>
          <w:lang w:val="es-MX"/>
        </w:rPr>
        <w:t>41 fracción II, 42,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 44, 49, 50 fracción I </w:t>
      </w:r>
      <w:r w:rsidRPr="007E5A50">
        <w:rPr>
          <w:rFonts w:ascii="Verdana" w:hAnsi="Verdana" w:cs="Tahoma"/>
          <w:sz w:val="24"/>
          <w:szCs w:val="24"/>
          <w:lang w:val="es-MX"/>
        </w:rPr>
        <w:t xml:space="preserve">y 94 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fracción </w:t>
      </w:r>
      <w:r w:rsidRPr="007E5A50">
        <w:rPr>
          <w:rFonts w:ascii="Verdana" w:hAnsi="Verdana" w:cs="Tahoma"/>
          <w:sz w:val="24"/>
          <w:szCs w:val="24"/>
          <w:lang w:val="es-MX"/>
        </w:rPr>
        <w:t xml:space="preserve">XIII 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 y demás relativos </w:t>
      </w:r>
      <w:r w:rsidRPr="007E5A50">
        <w:rPr>
          <w:rFonts w:ascii="Verdana" w:hAnsi="Verdana" w:cs="Tahoma"/>
          <w:sz w:val="24"/>
          <w:szCs w:val="24"/>
          <w:lang w:val="es-MX"/>
        </w:rPr>
        <w:t>de La Ley del Gobierno y la Administración Pública Municipal del Estado de Jalisco, así como los artículos 38 fracción XXI,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 </w:t>
      </w:r>
      <w:r w:rsidRPr="007E5A50">
        <w:rPr>
          <w:rFonts w:ascii="Verdana" w:hAnsi="Verdana" w:cs="Tahoma"/>
          <w:sz w:val="24"/>
          <w:szCs w:val="24"/>
          <w:lang w:val="es-MX"/>
        </w:rPr>
        <w:t>87 fracción II,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 </w:t>
      </w:r>
      <w:r w:rsidR="003F110B" w:rsidRPr="007E5A50">
        <w:rPr>
          <w:rFonts w:ascii="Verdana" w:hAnsi="Verdana" w:cs="Tahoma"/>
          <w:sz w:val="24"/>
          <w:szCs w:val="24"/>
          <w:lang w:val="es-MX"/>
        </w:rPr>
        <w:t>89,</w:t>
      </w:r>
      <w:r w:rsidR="0037716A" w:rsidRPr="007E5A50">
        <w:rPr>
          <w:rFonts w:ascii="Verdana" w:hAnsi="Verdana" w:cs="Tahoma"/>
          <w:sz w:val="24"/>
          <w:szCs w:val="24"/>
          <w:lang w:val="es-MX"/>
        </w:rPr>
        <w:t xml:space="preserve"> </w:t>
      </w:r>
      <w:r w:rsidR="00A01034" w:rsidRPr="007E5A50">
        <w:rPr>
          <w:rFonts w:ascii="Verdana" w:hAnsi="Verdana" w:cs="Tahoma"/>
          <w:sz w:val="24"/>
          <w:szCs w:val="24"/>
          <w:lang w:val="es-MX"/>
        </w:rPr>
        <w:t xml:space="preserve">93, </w:t>
      </w:r>
      <w:r w:rsidRPr="007E5A50">
        <w:rPr>
          <w:rFonts w:ascii="Verdana" w:hAnsi="Verdana" w:cs="Tahoma"/>
          <w:sz w:val="24"/>
          <w:szCs w:val="24"/>
          <w:lang w:val="es-MX"/>
        </w:rPr>
        <w:t>99</w:t>
      </w:r>
      <w:r w:rsidR="00E01B6A" w:rsidRPr="007E5A50">
        <w:rPr>
          <w:rFonts w:ascii="Verdana" w:hAnsi="Verdana" w:cs="Tahoma"/>
          <w:sz w:val="24"/>
          <w:szCs w:val="24"/>
          <w:lang w:val="es-MX"/>
        </w:rPr>
        <w:t>,</w:t>
      </w:r>
      <w:r w:rsidR="00A01034" w:rsidRPr="007E5A50">
        <w:rPr>
          <w:rFonts w:ascii="Verdana" w:hAnsi="Verdana" w:cs="Tahoma"/>
          <w:sz w:val="24"/>
          <w:szCs w:val="24"/>
          <w:lang w:val="es-MX"/>
        </w:rPr>
        <w:t xml:space="preserve"> </w:t>
      </w:r>
      <w:r w:rsidR="00E01B6A" w:rsidRPr="007E5A50">
        <w:rPr>
          <w:rFonts w:ascii="Verdana" w:hAnsi="Verdana" w:cs="Tahoma"/>
          <w:sz w:val="24"/>
          <w:szCs w:val="24"/>
          <w:lang w:val="es-MX"/>
        </w:rPr>
        <w:t>100</w:t>
      </w:r>
      <w:r w:rsidRPr="007E5A50">
        <w:rPr>
          <w:rFonts w:ascii="Verdana" w:hAnsi="Verdana" w:cs="Tahoma"/>
          <w:sz w:val="24"/>
          <w:szCs w:val="24"/>
          <w:lang w:val="es-MX"/>
        </w:rPr>
        <w:t xml:space="preserve"> y demás relativos del Reglamento Interior de Zapotlán el Grande, Jalisco; en uso de la facultad conferida en las disposiciones citadas, presento ante ustedes compañeros integrantes de este Órgano de Gobierno Municipal </w:t>
      </w:r>
      <w:r w:rsidR="00AB6FAA" w:rsidRPr="007E5A50">
        <w:rPr>
          <w:rFonts w:ascii="Verdana" w:hAnsi="Verdana" w:cs="Tahoma"/>
          <w:sz w:val="24"/>
          <w:szCs w:val="24"/>
          <w:lang w:val="es-MX"/>
        </w:rPr>
        <w:t>la siguiente</w:t>
      </w:r>
      <w:r w:rsidR="00AB6FAA" w:rsidRPr="007E5A50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AB6FAA" w:rsidRPr="007E5A50">
        <w:rPr>
          <w:rFonts w:ascii="Verdana" w:hAnsi="Verdana" w:cstheme="minorHAnsi"/>
          <w:b/>
          <w:sz w:val="24"/>
          <w:szCs w:val="24"/>
          <w:lang w:val="es-MX"/>
        </w:rPr>
        <w:t xml:space="preserve">INICIATIVA DE ORDENAMIENTO QUE </w:t>
      </w:r>
      <w:r w:rsidR="005757F3" w:rsidRPr="007E5A50">
        <w:rPr>
          <w:rFonts w:ascii="Verdana" w:hAnsi="Verdana" w:cstheme="minorHAnsi"/>
          <w:b/>
          <w:sz w:val="24"/>
          <w:szCs w:val="24"/>
          <w:lang w:val="es-MX"/>
        </w:rPr>
        <w:t>PROPONE LA CREACIÓN DEL REGLAMENTO PARA LA REGULARIZACIÓN Y TITULACIÓN DE PREDIOS URBANOS EN EL MUNICIPIO DE ZAPOTLÁN EL GRANDE, JALISCO</w:t>
      </w:r>
      <w:r w:rsidR="00006D5D">
        <w:rPr>
          <w:rFonts w:ascii="Verdana" w:hAnsi="Verdana" w:cstheme="minorHAnsi"/>
          <w:b/>
          <w:sz w:val="24"/>
          <w:szCs w:val="24"/>
          <w:lang w:val="es-MX"/>
        </w:rPr>
        <w:t>,</w:t>
      </w:r>
      <w:r w:rsidR="003F110B" w:rsidRPr="007E5A50">
        <w:rPr>
          <w:rFonts w:ascii="Verdana" w:hAnsi="Verdana" w:cstheme="minorHAnsi"/>
          <w:b/>
          <w:sz w:val="24"/>
          <w:szCs w:val="24"/>
          <w:lang w:val="es-MX"/>
        </w:rPr>
        <w:t xml:space="preserve"> </w:t>
      </w:r>
      <w:r w:rsidR="00AB6FAA" w:rsidRPr="007E5A50">
        <w:rPr>
          <w:rFonts w:ascii="Verdana" w:hAnsi="Verdana" w:cstheme="minorHAnsi"/>
          <w:bCs/>
          <w:sz w:val="24"/>
          <w:szCs w:val="24"/>
          <w:lang w:val="es-MX"/>
        </w:rPr>
        <w:t xml:space="preserve">de conformidad con los siguientes: </w:t>
      </w:r>
    </w:p>
    <w:p w:rsidR="001F2DFC" w:rsidRPr="007E5A50" w:rsidRDefault="001F2DFC" w:rsidP="007E5A50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</w:p>
    <w:p w:rsidR="00AB6FAA" w:rsidRPr="007E5A50" w:rsidRDefault="00AB6FAA" w:rsidP="007E5A50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  <w:r w:rsidRPr="007E5A50">
        <w:rPr>
          <w:rFonts w:ascii="Verdana" w:hAnsi="Verdana" w:cstheme="minorHAnsi"/>
          <w:b/>
          <w:sz w:val="24"/>
          <w:szCs w:val="24"/>
          <w:lang w:val="es-MX"/>
        </w:rPr>
        <w:t>ANTECEDENTES</w:t>
      </w:r>
    </w:p>
    <w:p w:rsidR="00AB6FAA" w:rsidRPr="007E5A50" w:rsidRDefault="00AB6FAA" w:rsidP="007E5A50">
      <w:pPr>
        <w:spacing w:line="276" w:lineRule="auto"/>
        <w:jc w:val="center"/>
        <w:rPr>
          <w:rFonts w:ascii="Verdana" w:hAnsi="Verdana" w:cstheme="minorHAnsi"/>
          <w:b/>
          <w:sz w:val="24"/>
          <w:szCs w:val="24"/>
          <w:lang w:val="es-MX"/>
        </w:rPr>
      </w:pPr>
    </w:p>
    <w:p w:rsidR="001F2DFC" w:rsidRPr="003A4442" w:rsidRDefault="00AB6FAA" w:rsidP="007E5A50">
      <w:pPr>
        <w:spacing w:line="276" w:lineRule="auto"/>
        <w:jc w:val="both"/>
        <w:rPr>
          <w:rFonts w:ascii="Verdana" w:hAnsi="Verdana" w:cstheme="minorHAnsi"/>
          <w:color w:val="000000"/>
          <w:sz w:val="24"/>
          <w:szCs w:val="24"/>
          <w:lang w:val="es-MX" w:eastAsia="es-MX"/>
        </w:rPr>
      </w:pPr>
      <w:r w:rsidRPr="007E5A50">
        <w:rPr>
          <w:rFonts w:ascii="Verdana" w:hAnsi="Verdana" w:cstheme="minorHAnsi"/>
          <w:b/>
          <w:sz w:val="24"/>
          <w:szCs w:val="24"/>
          <w:lang w:val="es-MX"/>
        </w:rPr>
        <w:t>I.-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7E5A50">
        <w:rPr>
          <w:rFonts w:ascii="Verdana" w:hAnsi="Verdana" w:cstheme="minorHAnsi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7E5A50">
        <w:rPr>
          <w:rFonts w:ascii="Verdana" w:hAnsi="Verdana" w:cstheme="minorHAnsi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7E5A50" w:rsidRDefault="007E5A50" w:rsidP="007E5A50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</w:pPr>
    </w:p>
    <w:p w:rsidR="00AB6FAA" w:rsidRPr="007E5A50" w:rsidRDefault="00AB6FAA" w:rsidP="007E5A50">
      <w:pPr>
        <w:spacing w:line="276" w:lineRule="auto"/>
        <w:jc w:val="both"/>
        <w:rPr>
          <w:rFonts w:ascii="Verdana" w:hAnsi="Verdana" w:cstheme="minorHAnsi"/>
          <w:snapToGrid w:val="0"/>
          <w:sz w:val="24"/>
          <w:szCs w:val="24"/>
          <w:lang w:val="es-MX"/>
        </w:rPr>
      </w:pPr>
      <w:r w:rsidRPr="007E5A50">
        <w:rPr>
          <w:rFonts w:ascii="Verdana" w:hAnsi="Verdana" w:cstheme="minorHAnsi"/>
          <w:b/>
          <w:color w:val="000000"/>
          <w:sz w:val="24"/>
          <w:szCs w:val="24"/>
          <w:lang w:val="es-MX" w:eastAsia="es-MX"/>
        </w:rPr>
        <w:t>II.-</w:t>
      </w:r>
      <w:r w:rsidRPr="007E5A50">
        <w:rPr>
          <w:rFonts w:ascii="Verdana" w:hAnsi="Verdana" w:cstheme="minorHAnsi"/>
          <w:color w:val="000000"/>
          <w:sz w:val="24"/>
          <w:szCs w:val="24"/>
          <w:lang w:val="es-MX" w:eastAsia="es-MX"/>
        </w:rPr>
        <w:t xml:space="preserve"> Que conforme a lo establecido en la Constitución Política del Estado de Jalisco, en su artículo 77 reconoce e</w:t>
      </w:r>
      <w:r w:rsidRPr="007E5A50">
        <w:rPr>
          <w:rFonts w:ascii="Verdana" w:hAnsi="Verdana" w:cstheme="minorHAnsi"/>
          <w:spacing w:val="-3"/>
          <w:sz w:val="24"/>
          <w:szCs w:val="24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7E5A50">
        <w:rPr>
          <w:rFonts w:ascii="Verdana" w:hAnsi="Verdana" w:cstheme="minorHAnsi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7E5A50">
        <w:rPr>
          <w:rFonts w:ascii="Verdana" w:hAnsi="Verdana" w:cstheme="minorHAnsi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:rsidR="00AB6FAA" w:rsidRDefault="00AB6FAA" w:rsidP="007E5A50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E3516F" w:rsidRPr="007E5A50" w:rsidRDefault="00E3516F" w:rsidP="007E5A50">
      <w:pPr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006D5D" w:rsidRDefault="00AB6FAA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7E5A50">
        <w:rPr>
          <w:rFonts w:ascii="Verdana" w:hAnsi="Verdana" w:cstheme="minorHAnsi"/>
          <w:b/>
          <w:sz w:val="24"/>
          <w:szCs w:val="24"/>
          <w:lang w:val="es-MX"/>
        </w:rPr>
        <w:t>III.-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065580">
        <w:rPr>
          <w:rFonts w:ascii="Verdana" w:hAnsi="Verdana" w:cstheme="minorHAnsi"/>
          <w:sz w:val="24"/>
          <w:szCs w:val="24"/>
          <w:lang w:val="es-MX"/>
        </w:rPr>
        <w:t>En nuestro municipio, e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s común </w:t>
      </w:r>
      <w:r w:rsidR="00065580">
        <w:rPr>
          <w:rFonts w:ascii="Verdana" w:hAnsi="Verdana" w:cstheme="minorHAnsi"/>
          <w:sz w:val="24"/>
          <w:szCs w:val="24"/>
          <w:lang w:val="es-MX"/>
        </w:rPr>
        <w:t xml:space="preserve">experimentar 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la tenencia de predios urbanos de forma irregular, es decir, </w:t>
      </w:r>
      <w:r w:rsidR="00572AB0">
        <w:rPr>
          <w:rFonts w:ascii="Verdana" w:hAnsi="Verdana" w:cstheme="minorHAnsi"/>
          <w:sz w:val="24"/>
          <w:szCs w:val="24"/>
          <w:lang w:val="es-MX"/>
        </w:rPr>
        <w:t xml:space="preserve">el poseedor de un bien inmueble 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no cuenta con los documentos idóneos para acreditar la propiedad </w:t>
      </w:r>
      <w:r w:rsidR="00572AB0">
        <w:rPr>
          <w:rFonts w:ascii="Verdana" w:hAnsi="Verdana" w:cstheme="minorHAnsi"/>
          <w:sz w:val="24"/>
          <w:szCs w:val="24"/>
          <w:lang w:val="es-MX"/>
        </w:rPr>
        <w:t>que detenta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, por lo que </w:t>
      </w:r>
      <w:r w:rsidR="007A2D0E">
        <w:rPr>
          <w:rFonts w:ascii="Verdana" w:hAnsi="Verdana" w:cstheme="minorHAnsi"/>
          <w:sz w:val="24"/>
          <w:szCs w:val="24"/>
          <w:lang w:val="es-MX"/>
        </w:rPr>
        <w:t xml:space="preserve">al 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>no contar con la certeza</w:t>
      </w:r>
      <w:r w:rsidR="00065580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de la titularidad de la tenencia de esos predios, se crea la incertidumbre jurídica y con ello </w:t>
      </w:r>
      <w:r w:rsidR="00572AB0">
        <w:rPr>
          <w:rFonts w:ascii="Verdana" w:hAnsi="Verdana" w:cstheme="minorHAnsi"/>
          <w:sz w:val="24"/>
          <w:szCs w:val="24"/>
          <w:lang w:val="es-MX"/>
        </w:rPr>
        <w:t>se generan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 conflictos legales y administrativos</w:t>
      </w:r>
      <w:r w:rsidR="00572AB0">
        <w:rPr>
          <w:rFonts w:ascii="Verdana" w:hAnsi="Verdana" w:cstheme="minorHAnsi"/>
          <w:sz w:val="24"/>
          <w:szCs w:val="24"/>
          <w:lang w:val="es-MX"/>
        </w:rPr>
        <w:t>, además de que el municipio les dota de servicios públicos sin recibir contraprestación alguna.</w:t>
      </w:r>
      <w:r w:rsidR="00F727BA" w:rsidRPr="007E5A50">
        <w:rPr>
          <w:rFonts w:ascii="Verdana" w:hAnsi="Verdana" w:cstheme="minorHAnsi"/>
          <w:sz w:val="24"/>
          <w:szCs w:val="24"/>
          <w:lang w:val="es-MX"/>
        </w:rPr>
        <w:t xml:space="preserve"> </w:t>
      </w:r>
    </w:p>
    <w:p w:rsidR="00006D5D" w:rsidRDefault="00006D5D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F727BA" w:rsidRDefault="00F727BA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7E5A50">
        <w:rPr>
          <w:rFonts w:ascii="Verdana" w:hAnsi="Verdana" w:cstheme="minorHAnsi"/>
          <w:sz w:val="24"/>
          <w:szCs w:val="24"/>
          <w:lang w:val="es-MX"/>
        </w:rPr>
        <w:t xml:space="preserve">Para ello existen diferentes mecanismos legales </w:t>
      </w:r>
      <w:r w:rsidR="00006D5D">
        <w:rPr>
          <w:rFonts w:ascii="Verdana" w:hAnsi="Verdana" w:cstheme="minorHAnsi"/>
          <w:sz w:val="24"/>
          <w:szCs w:val="24"/>
          <w:lang w:val="es-MX"/>
        </w:rPr>
        <w:t>que coadyuvan para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acreditar la posesión y la propiedad de los predios</w:t>
      </w:r>
      <w:r w:rsidR="00006D5D">
        <w:rPr>
          <w:rFonts w:ascii="Verdana" w:hAnsi="Verdana" w:cstheme="minorHAnsi"/>
          <w:sz w:val="24"/>
          <w:szCs w:val="24"/>
          <w:lang w:val="es-MX"/>
        </w:rPr>
        <w:t xml:space="preserve"> urbanos</w:t>
      </w:r>
      <w:r w:rsidR="007A2D0E">
        <w:rPr>
          <w:rFonts w:ascii="Verdana" w:hAnsi="Verdana" w:cstheme="minorHAnsi"/>
          <w:sz w:val="24"/>
          <w:szCs w:val="24"/>
          <w:lang w:val="es-MX"/>
        </w:rPr>
        <w:t>, en particular, e</w:t>
      </w:r>
      <w:r w:rsidRPr="007E5A50">
        <w:rPr>
          <w:rFonts w:ascii="Verdana" w:hAnsi="Verdana" w:cstheme="minorHAnsi"/>
          <w:sz w:val="24"/>
          <w:szCs w:val="24"/>
          <w:lang w:val="es-MX"/>
        </w:rPr>
        <w:t>n el Estado de Jalisco</w:t>
      </w:r>
      <w:r w:rsidR="007A2D0E">
        <w:rPr>
          <w:rFonts w:ascii="Verdana" w:hAnsi="Verdana" w:cstheme="minorHAnsi"/>
          <w:sz w:val="24"/>
          <w:szCs w:val="24"/>
          <w:lang w:val="es-MX"/>
        </w:rPr>
        <w:t>, a partir del 1º de octubre de 2014,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se cuenta con la Ley para la Regularización y Titulación de Predios Urbanos en el Estado de Jalisco, </w:t>
      </w:r>
      <w:r w:rsidR="007A2D0E">
        <w:rPr>
          <w:rFonts w:ascii="Verdana" w:hAnsi="Verdana" w:cstheme="minorHAnsi"/>
          <w:sz w:val="24"/>
          <w:szCs w:val="24"/>
          <w:lang w:val="es-MX"/>
        </w:rPr>
        <w:t xml:space="preserve">la cual, establece </w:t>
      </w:r>
      <w:r w:rsidRPr="007E5A50">
        <w:rPr>
          <w:rFonts w:ascii="Verdana" w:hAnsi="Verdana" w:cstheme="minorHAnsi"/>
          <w:sz w:val="24"/>
          <w:szCs w:val="24"/>
          <w:lang w:val="es-MX"/>
        </w:rPr>
        <w:t>las pautas para que se realice</w:t>
      </w:r>
      <w:r w:rsidR="00E527B4" w:rsidRPr="007E5A50">
        <w:rPr>
          <w:rFonts w:ascii="Verdana" w:hAnsi="Verdana" w:cstheme="minorHAnsi"/>
          <w:sz w:val="24"/>
          <w:szCs w:val="24"/>
          <w:lang w:val="es-MX"/>
        </w:rPr>
        <w:t>n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de manera certera</w:t>
      </w:r>
      <w:r w:rsidR="007A2D0E">
        <w:rPr>
          <w:rFonts w:ascii="Verdana" w:hAnsi="Verdana" w:cstheme="minorHAnsi"/>
          <w:sz w:val="24"/>
          <w:szCs w:val="24"/>
          <w:lang w:val="es-MX"/>
        </w:rPr>
        <w:t>,</w:t>
      </w:r>
      <w:r w:rsidR="00E527B4" w:rsidRPr="007E5A50">
        <w:rPr>
          <w:rFonts w:ascii="Verdana" w:hAnsi="Verdana" w:cstheme="minorHAnsi"/>
          <w:sz w:val="24"/>
          <w:szCs w:val="24"/>
          <w:lang w:val="es-MX"/>
        </w:rPr>
        <w:t xml:space="preserve"> en cada municipio ejerciendo su jurisdicción territorial</w:t>
      </w:r>
      <w:r w:rsidR="004548AD" w:rsidRPr="007E5A50">
        <w:rPr>
          <w:rFonts w:ascii="Verdana" w:hAnsi="Verdana" w:cstheme="minorHAnsi"/>
          <w:sz w:val="24"/>
          <w:szCs w:val="24"/>
          <w:lang w:val="es-MX"/>
        </w:rPr>
        <w:t>,</w:t>
      </w:r>
      <w:r w:rsidR="007A2D0E">
        <w:rPr>
          <w:rFonts w:ascii="Verdana" w:hAnsi="Verdana" w:cstheme="minorHAnsi"/>
          <w:sz w:val="24"/>
          <w:szCs w:val="24"/>
          <w:lang w:val="es-MX"/>
        </w:rPr>
        <w:t xml:space="preserve"> los procedimientos para la regularización de estos predios urbanos. E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l Municipio de Zapotlán el Grande, </w:t>
      </w:r>
      <w:r w:rsidR="007A2D0E">
        <w:rPr>
          <w:rFonts w:ascii="Verdana" w:hAnsi="Verdana" w:cstheme="minorHAnsi"/>
          <w:sz w:val="24"/>
          <w:szCs w:val="24"/>
          <w:lang w:val="es-MX"/>
        </w:rPr>
        <w:t>está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</w:t>
      </w:r>
      <w:r w:rsidR="007A2D0E">
        <w:rPr>
          <w:rFonts w:ascii="Verdana" w:hAnsi="Verdana" w:cstheme="minorHAnsi"/>
          <w:sz w:val="24"/>
          <w:szCs w:val="24"/>
          <w:lang w:val="es-MX"/>
        </w:rPr>
        <w:t>heciendo uso de</w:t>
      </w:r>
      <w:r w:rsidRPr="007E5A50">
        <w:rPr>
          <w:rFonts w:ascii="Verdana" w:hAnsi="Verdana" w:cstheme="minorHAnsi"/>
          <w:sz w:val="24"/>
          <w:szCs w:val="24"/>
          <w:lang w:val="es-MX"/>
        </w:rPr>
        <w:t xml:space="preserve"> la Ley Estatal ya mencionada, pero aún no existe reglamentación </w:t>
      </w:r>
      <w:r w:rsidR="00E527B4" w:rsidRPr="007E5A50">
        <w:rPr>
          <w:rFonts w:ascii="Verdana" w:hAnsi="Verdana" w:cstheme="minorHAnsi"/>
          <w:sz w:val="24"/>
          <w:szCs w:val="24"/>
          <w:lang w:val="es-MX"/>
        </w:rPr>
        <w:t xml:space="preserve">municipal </w:t>
      </w:r>
      <w:r w:rsidRPr="007E5A50">
        <w:rPr>
          <w:rFonts w:ascii="Verdana" w:hAnsi="Verdana" w:cstheme="minorHAnsi"/>
          <w:sz w:val="24"/>
          <w:szCs w:val="24"/>
          <w:lang w:val="es-MX"/>
        </w:rPr>
        <w:t>en la materia</w:t>
      </w:r>
      <w:r w:rsidR="007A2D0E">
        <w:rPr>
          <w:rFonts w:ascii="Verdana" w:hAnsi="Verdana" w:cstheme="minorHAnsi"/>
          <w:sz w:val="24"/>
          <w:szCs w:val="24"/>
          <w:lang w:val="es-MX"/>
        </w:rPr>
        <w:t>, que coadyuve en su aplicación adecuadamente</w:t>
      </w:r>
      <w:r w:rsidR="00065580">
        <w:rPr>
          <w:rFonts w:ascii="Verdana" w:hAnsi="Verdana" w:cstheme="minorHAnsi"/>
          <w:sz w:val="24"/>
          <w:szCs w:val="24"/>
          <w:lang w:val="es-MX"/>
        </w:rPr>
        <w:t>.</w:t>
      </w:r>
      <w:r w:rsidR="007A2D0E">
        <w:rPr>
          <w:rFonts w:ascii="Verdana" w:hAnsi="Verdana" w:cstheme="minorHAnsi"/>
          <w:sz w:val="24"/>
          <w:szCs w:val="24"/>
          <w:lang w:val="es-MX"/>
        </w:rPr>
        <w:t xml:space="preserve"> </w:t>
      </w:r>
    </w:p>
    <w:p w:rsidR="00065580" w:rsidRPr="007E5A50" w:rsidRDefault="00065580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E3516F" w:rsidRDefault="00E3516F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:rsidR="00E3516F" w:rsidRDefault="00E3516F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:rsidR="00E3516F" w:rsidRDefault="00E3516F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:rsidR="00E3516F" w:rsidRDefault="00E3516F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:rsidR="00E3516F" w:rsidRDefault="00E3516F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:rsidR="004548AD" w:rsidRPr="007E5A50" w:rsidRDefault="00E779BB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7E5A50">
        <w:rPr>
          <w:rFonts w:ascii="Verdana" w:hAnsi="Verdana" w:cstheme="minorHAnsi"/>
          <w:b/>
          <w:sz w:val="24"/>
          <w:szCs w:val="24"/>
          <w:lang w:val="es-MX"/>
        </w:rPr>
        <w:t>I</w:t>
      </w:r>
      <w:r w:rsidR="00AB6FAA" w:rsidRPr="007E5A50">
        <w:rPr>
          <w:rFonts w:ascii="Verdana" w:hAnsi="Verdana" w:cstheme="minorHAnsi"/>
          <w:b/>
          <w:sz w:val="24"/>
          <w:szCs w:val="24"/>
          <w:lang w:val="es-MX"/>
        </w:rPr>
        <w:t xml:space="preserve">V.- </w:t>
      </w:r>
      <w:r w:rsidR="004548AD" w:rsidRPr="007E5A50">
        <w:rPr>
          <w:rFonts w:ascii="Verdana" w:hAnsi="Verdana" w:cstheme="minorHAnsi"/>
          <w:sz w:val="24"/>
          <w:szCs w:val="24"/>
          <w:lang w:val="es-MX"/>
        </w:rPr>
        <w:t>En este tenor,</w:t>
      </w:r>
      <w:r w:rsidR="00065580">
        <w:rPr>
          <w:rFonts w:ascii="Verdana" w:hAnsi="Verdana" w:cstheme="minorHAnsi"/>
          <w:sz w:val="24"/>
          <w:szCs w:val="24"/>
          <w:lang w:val="es-MX"/>
        </w:rPr>
        <w:t xml:space="preserve"> y por ser una obligación por parte del Ayuntamiento</w:t>
      </w:r>
      <w:r w:rsidR="003A4442">
        <w:rPr>
          <w:rFonts w:ascii="Verdana" w:hAnsi="Verdana" w:cstheme="minorHAnsi"/>
          <w:sz w:val="24"/>
          <w:szCs w:val="24"/>
          <w:lang w:val="es-MX"/>
        </w:rPr>
        <w:t>,</w:t>
      </w:r>
      <w:r w:rsidR="00065580">
        <w:rPr>
          <w:rFonts w:ascii="Verdana" w:hAnsi="Verdana" w:cstheme="minorHAnsi"/>
          <w:sz w:val="24"/>
          <w:szCs w:val="24"/>
          <w:lang w:val="es-MX"/>
        </w:rPr>
        <w:t xml:space="preserve"> contar con este instrumento</w:t>
      </w:r>
      <w:r w:rsidR="00006D5D">
        <w:rPr>
          <w:rFonts w:ascii="Verdana" w:hAnsi="Verdana" w:cstheme="minorHAnsi"/>
          <w:sz w:val="24"/>
          <w:szCs w:val="24"/>
          <w:lang w:val="es-MX"/>
        </w:rPr>
        <w:t xml:space="preserve"> legal</w:t>
      </w:r>
      <w:r w:rsidR="00065580">
        <w:rPr>
          <w:rFonts w:ascii="Verdana" w:hAnsi="Verdana" w:cstheme="minorHAnsi"/>
          <w:sz w:val="24"/>
          <w:szCs w:val="24"/>
          <w:lang w:val="es-MX"/>
        </w:rPr>
        <w:t xml:space="preserve">, </w:t>
      </w:r>
      <w:r w:rsidR="00006D5D">
        <w:rPr>
          <w:rFonts w:ascii="Verdana" w:hAnsi="Verdana" w:cstheme="minorHAnsi"/>
          <w:sz w:val="24"/>
          <w:szCs w:val="24"/>
          <w:lang w:val="es-MX"/>
        </w:rPr>
        <w:t xml:space="preserve">es que </w:t>
      </w:r>
      <w:r w:rsidR="004548AD" w:rsidRPr="007E5A50">
        <w:rPr>
          <w:rFonts w:ascii="Verdana" w:hAnsi="Verdana" w:cstheme="minorHAnsi"/>
          <w:sz w:val="24"/>
          <w:szCs w:val="24"/>
          <w:lang w:val="es-MX"/>
        </w:rPr>
        <w:t>se propone la creación de</w:t>
      </w:r>
      <w:r w:rsidR="00572AB0">
        <w:rPr>
          <w:rFonts w:ascii="Verdana" w:hAnsi="Verdana" w:cstheme="minorHAnsi"/>
          <w:sz w:val="24"/>
          <w:szCs w:val="24"/>
          <w:lang w:val="es-MX"/>
        </w:rPr>
        <w:t>l Reglamento de</w:t>
      </w:r>
      <w:r w:rsidR="004548AD" w:rsidRPr="007E5A50">
        <w:rPr>
          <w:rFonts w:ascii="Verdana" w:hAnsi="Verdana" w:cstheme="minorHAnsi"/>
          <w:sz w:val="24"/>
          <w:szCs w:val="24"/>
          <w:lang w:val="es-MX"/>
        </w:rPr>
        <w:t xml:space="preserve"> Regularización y Titulación de Predios Urbanos en el Municipio de Zapotlán el Grande, Jalisco, </w:t>
      </w:r>
      <w:r w:rsidR="00572AB0">
        <w:rPr>
          <w:rFonts w:ascii="Verdana" w:hAnsi="Verdana" w:cstheme="minorHAnsi"/>
          <w:sz w:val="24"/>
          <w:szCs w:val="24"/>
          <w:lang w:val="es-MX"/>
        </w:rPr>
        <w:t>en</w:t>
      </w:r>
      <w:r w:rsidR="004548AD" w:rsidRPr="007E5A50">
        <w:rPr>
          <w:rFonts w:ascii="Verdana" w:hAnsi="Verdana" w:cstheme="minorHAnsi"/>
          <w:sz w:val="24"/>
          <w:szCs w:val="24"/>
          <w:lang w:val="es-MX"/>
        </w:rPr>
        <w:t xml:space="preserve"> armonía con la Ley en la materia ya citada, de conformidad a los artículos 2, 4, 5 y demás aplicables a la Ley para la Regularización y Titulación de Predios Urbanos en el Estado de Jalisco, que a la letra rezan:</w:t>
      </w:r>
    </w:p>
    <w:p w:rsidR="004548AD" w:rsidRPr="007E5A50" w:rsidRDefault="004548AD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“Artículo 2.</w:t>
      </w:r>
      <w:r w:rsidRPr="007E5A50">
        <w:rPr>
          <w:rFonts w:ascii="Verdana" w:hAnsi="Verdana" w:cs="Arial"/>
          <w:i/>
          <w:sz w:val="22"/>
        </w:rPr>
        <w:t xml:space="preserve"> Para los efectos de esta Ley, se entiende por: … </w:t>
      </w:r>
      <w:r w:rsidRPr="007E5A50">
        <w:rPr>
          <w:rFonts w:ascii="Verdana" w:hAnsi="Verdana" w:cs="Arial"/>
          <w:b/>
          <w:bCs/>
          <w:i/>
          <w:sz w:val="22"/>
        </w:rPr>
        <w:t xml:space="preserve">XIV. </w:t>
      </w:r>
      <w:r w:rsidRPr="007E5A50">
        <w:rPr>
          <w:rFonts w:ascii="Verdana" w:hAnsi="Verdana" w:cs="Arial"/>
          <w:i/>
          <w:sz w:val="22"/>
        </w:rPr>
        <w:t>Reglamento Municipal de Regularización:</w:t>
      </w:r>
      <w:r w:rsidRPr="007E5A50">
        <w:rPr>
          <w:rFonts w:ascii="Verdana" w:hAnsi="Verdana" w:cs="Arial"/>
          <w:b/>
          <w:bCs/>
          <w:i/>
          <w:sz w:val="22"/>
        </w:rPr>
        <w:t xml:space="preserve"> </w:t>
      </w:r>
      <w:r w:rsidRPr="007E5A50">
        <w:rPr>
          <w:rFonts w:ascii="Verdana" w:hAnsi="Verdana" w:cs="Arial"/>
          <w:i/>
          <w:sz w:val="22"/>
        </w:rPr>
        <w:t>Es el ordenamiento municipal que expida el Ayuntamiento para regular las normas de aplicación de la presente ley;”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“Artículo 4.</w:t>
      </w:r>
      <w:r w:rsidRPr="007E5A50">
        <w:rPr>
          <w:rFonts w:ascii="Verdana" w:hAnsi="Verdana" w:cs="Arial"/>
          <w:i/>
          <w:sz w:val="22"/>
        </w:rPr>
        <w:t xml:space="preserve">  Son Autoridades Responsables en la aplicación y evaluación de las acciones derivadas de la presente Ley: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I.</w:t>
      </w:r>
      <w:r w:rsidRPr="007E5A50">
        <w:rPr>
          <w:rFonts w:ascii="Verdana" w:hAnsi="Verdana" w:cs="Arial"/>
          <w:i/>
          <w:sz w:val="22"/>
        </w:rPr>
        <w:t xml:space="preserve"> Los Ayuntamientos;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II.</w:t>
      </w:r>
      <w:r w:rsidRPr="007E5A50">
        <w:rPr>
          <w:rFonts w:ascii="Verdana" w:hAnsi="Verdana" w:cs="Arial"/>
          <w:i/>
          <w:sz w:val="22"/>
        </w:rPr>
        <w:t xml:space="preserve"> Los Presidentes Municipales;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III.</w:t>
      </w:r>
      <w:r w:rsidRPr="007E5A50">
        <w:rPr>
          <w:rFonts w:ascii="Verdana" w:hAnsi="Verdana" w:cs="Arial"/>
          <w:i/>
          <w:sz w:val="22"/>
        </w:rPr>
        <w:t xml:space="preserve"> El Secretario de cada Ayuntamiento; 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IV.</w:t>
      </w:r>
      <w:r w:rsidRPr="007E5A50">
        <w:rPr>
          <w:rFonts w:ascii="Verdana" w:hAnsi="Verdana" w:cs="Arial"/>
          <w:i/>
          <w:sz w:val="22"/>
        </w:rPr>
        <w:t xml:space="preserve"> Las Comisiones Municipales de Regularización; y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V.</w:t>
      </w:r>
      <w:r w:rsidRPr="007E5A50">
        <w:rPr>
          <w:rFonts w:ascii="Verdana" w:hAnsi="Verdana" w:cs="Arial"/>
          <w:i/>
          <w:sz w:val="22"/>
        </w:rPr>
        <w:t xml:space="preserve"> La Procuraduría de Desarrollo Urbano del Estado de Jalisco.”</w:t>
      </w: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b/>
          <w:bCs/>
          <w:i/>
          <w:sz w:val="22"/>
        </w:rPr>
      </w:pPr>
    </w:p>
    <w:p w:rsidR="004548AD" w:rsidRPr="007E5A50" w:rsidRDefault="004548AD" w:rsidP="007E5A50">
      <w:pPr>
        <w:pStyle w:val="Sinespaciado1"/>
        <w:spacing w:line="276" w:lineRule="auto"/>
        <w:ind w:left="567" w:right="-1"/>
        <w:jc w:val="both"/>
        <w:rPr>
          <w:rFonts w:ascii="Verdana" w:hAnsi="Verdana" w:cs="Arial"/>
          <w:i/>
          <w:sz w:val="22"/>
        </w:rPr>
      </w:pPr>
      <w:r w:rsidRPr="007E5A50">
        <w:rPr>
          <w:rFonts w:ascii="Verdana" w:hAnsi="Verdana" w:cs="Arial"/>
          <w:b/>
          <w:bCs/>
          <w:i/>
          <w:sz w:val="22"/>
        </w:rPr>
        <w:t>“Artículo 5.</w:t>
      </w:r>
      <w:r w:rsidRPr="007E5A50">
        <w:rPr>
          <w:rFonts w:ascii="Verdana" w:hAnsi="Verdana" w:cs="Arial"/>
          <w:i/>
          <w:sz w:val="22"/>
        </w:rPr>
        <w:t xml:space="preserve"> Los Ayuntamientos, a efecto de realizar las acciones que se establecen en la presente Ley, deberán: …</w:t>
      </w:r>
      <w:r w:rsidRPr="007E5A50">
        <w:rPr>
          <w:rFonts w:ascii="Verdana" w:hAnsi="Verdana" w:cs="Arial"/>
          <w:b/>
          <w:bCs/>
          <w:i/>
          <w:sz w:val="22"/>
        </w:rPr>
        <w:t xml:space="preserve">VII. </w:t>
      </w:r>
      <w:r w:rsidRPr="007E5A50">
        <w:rPr>
          <w:rFonts w:ascii="Verdana" w:hAnsi="Verdana" w:cs="Arial"/>
          <w:i/>
          <w:sz w:val="22"/>
        </w:rPr>
        <w:t>Emitir el Reglamento Municipal de Regularización, necesario para la aplicación de la presente Ley, en su jurisdicción territorial;”</w:t>
      </w:r>
    </w:p>
    <w:p w:rsidR="004548AD" w:rsidRPr="007E5A50" w:rsidRDefault="004548AD" w:rsidP="007E5A50">
      <w:pPr>
        <w:autoSpaceDE w:val="0"/>
        <w:autoSpaceDN w:val="0"/>
        <w:adjustRightInd w:val="0"/>
        <w:spacing w:line="276" w:lineRule="auto"/>
        <w:ind w:left="567" w:right="-1"/>
        <w:jc w:val="both"/>
        <w:rPr>
          <w:rFonts w:ascii="Verdana" w:hAnsi="Verdana" w:cstheme="minorHAnsi"/>
          <w:i/>
          <w:sz w:val="22"/>
          <w:szCs w:val="24"/>
          <w:lang w:val="es-ES"/>
        </w:rPr>
      </w:pPr>
    </w:p>
    <w:p w:rsidR="00AB6FAA" w:rsidRPr="007E5A50" w:rsidRDefault="00B54676" w:rsidP="00006D5D">
      <w:pPr>
        <w:spacing w:line="276" w:lineRule="auto"/>
        <w:jc w:val="both"/>
        <w:rPr>
          <w:rFonts w:ascii="Verdana" w:hAnsi="Verdana" w:cs="Tahoma"/>
          <w:sz w:val="24"/>
          <w:szCs w:val="24"/>
          <w:lang w:val="es-MX"/>
        </w:rPr>
      </w:pP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Con fundamento en el artículo 41 fracción II de la Ley del Gobierno y la Administración Pública Municipal del Estado de Jalisco, 87 fracción II del Reglamento Interior del Ayuntamiento de Zapotlán el Grande, así como el artículo 5 fracción VII de la Ley para la Regularización y Titulación de Predios Urbanos en el Estado de Jalisco, </w:t>
      </w:r>
      <w:r w:rsidR="00AB6FAA" w:rsidRPr="007E5A50">
        <w:rPr>
          <w:rFonts w:ascii="Verdana" w:hAnsi="Verdana" w:cs="Tahoma"/>
          <w:bCs/>
          <w:sz w:val="24"/>
          <w:szCs w:val="24"/>
          <w:lang w:val="es-MX"/>
        </w:rPr>
        <w:t xml:space="preserve">propongo </w:t>
      </w:r>
      <w:r w:rsidR="00572AB0">
        <w:rPr>
          <w:rFonts w:ascii="Verdana" w:hAnsi="Verdana" w:cs="Tahoma"/>
          <w:bCs/>
          <w:sz w:val="24"/>
          <w:szCs w:val="24"/>
          <w:lang w:val="es-MX"/>
        </w:rPr>
        <w:t xml:space="preserve">la </w:t>
      </w:r>
      <w:r w:rsidR="00AB6FAA" w:rsidRPr="007E5A50">
        <w:rPr>
          <w:rFonts w:ascii="Verdana" w:hAnsi="Verdana" w:cs="Tahoma"/>
          <w:sz w:val="24"/>
          <w:szCs w:val="24"/>
          <w:lang w:val="es-MX"/>
        </w:rPr>
        <w:t>siguiente</w:t>
      </w:r>
      <w:r w:rsidR="00E527B4" w:rsidRPr="007E5A50">
        <w:rPr>
          <w:rFonts w:ascii="Verdana" w:hAnsi="Verdana" w:cstheme="minorHAnsi"/>
          <w:b/>
          <w:sz w:val="24"/>
          <w:szCs w:val="24"/>
          <w:lang w:val="es-MX"/>
        </w:rPr>
        <w:t xml:space="preserve"> INICIATIVA DE ORDENAMIENTO QUE PROPONE LA CREACIÓN DEL REGLAMENTO PARA LA REGULARIZACIÓN Y TITULACIÓN DE PREDIOS URBANOS EN EL MUNICIPIO DE ZAPOTLÁN EL GRANDE, JALISCO,</w:t>
      </w:r>
      <w:r w:rsidR="00AB6FAA" w:rsidRPr="007E5A50">
        <w:rPr>
          <w:rFonts w:ascii="Verdana" w:hAnsi="Verdana" w:cs="Tahoma"/>
          <w:b/>
          <w:bCs/>
          <w:sz w:val="24"/>
          <w:szCs w:val="24"/>
          <w:lang w:val="es-MX"/>
        </w:rPr>
        <w:t xml:space="preserve"> </w:t>
      </w:r>
      <w:r w:rsidR="00AB6FAA" w:rsidRPr="007E5A50">
        <w:rPr>
          <w:rFonts w:ascii="Verdana" w:hAnsi="Verdana" w:cs="Tahoma"/>
          <w:sz w:val="24"/>
          <w:szCs w:val="24"/>
          <w:lang w:val="es-MX"/>
        </w:rPr>
        <w:t xml:space="preserve">de conformidad al </w:t>
      </w:r>
      <w:r w:rsidR="00E3516F">
        <w:rPr>
          <w:rFonts w:ascii="Verdana" w:hAnsi="Verdana" w:cs="Tahoma"/>
          <w:sz w:val="24"/>
          <w:szCs w:val="24"/>
          <w:lang w:val="es-MX"/>
        </w:rPr>
        <w:t>resolutivo</w:t>
      </w:r>
      <w:r w:rsidR="00AB6FAA" w:rsidRPr="007E5A50">
        <w:rPr>
          <w:rFonts w:ascii="Verdana" w:hAnsi="Verdana" w:cs="Tahoma"/>
          <w:sz w:val="24"/>
          <w:szCs w:val="24"/>
          <w:lang w:val="es-MX"/>
        </w:rPr>
        <w:t xml:space="preserve"> siguiente:</w:t>
      </w:r>
    </w:p>
    <w:p w:rsidR="00AB6FAA" w:rsidRPr="007E5A50" w:rsidRDefault="00AB6FAA" w:rsidP="007E5A5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Cs/>
          <w:sz w:val="24"/>
          <w:szCs w:val="24"/>
          <w:lang w:val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bCs/>
          <w:sz w:val="24"/>
          <w:szCs w:val="24"/>
          <w:lang w:val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bCs/>
          <w:sz w:val="24"/>
          <w:szCs w:val="24"/>
          <w:lang w:val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bCs/>
          <w:sz w:val="24"/>
          <w:szCs w:val="24"/>
          <w:lang w:val="es-MX"/>
        </w:rPr>
      </w:pPr>
    </w:p>
    <w:p w:rsidR="00E3516F" w:rsidRDefault="00E3516F" w:rsidP="007E5A50">
      <w:pPr>
        <w:spacing w:line="276" w:lineRule="auto"/>
        <w:jc w:val="both"/>
        <w:rPr>
          <w:rFonts w:ascii="Verdana" w:hAnsi="Verdana" w:cstheme="minorHAnsi"/>
          <w:b/>
          <w:bCs/>
          <w:sz w:val="24"/>
          <w:szCs w:val="24"/>
          <w:lang w:val="es-MX"/>
        </w:rPr>
      </w:pPr>
    </w:p>
    <w:p w:rsidR="00AB6FAA" w:rsidRPr="007E5A50" w:rsidRDefault="00AB6FAA" w:rsidP="007E5A50">
      <w:pPr>
        <w:spacing w:line="276" w:lineRule="auto"/>
        <w:jc w:val="both"/>
        <w:rPr>
          <w:rFonts w:ascii="Verdana" w:hAnsi="Verdana" w:cs="Tahoma"/>
          <w:bCs/>
          <w:sz w:val="24"/>
          <w:szCs w:val="24"/>
          <w:lang w:val="es-MX"/>
        </w:rPr>
      </w:pPr>
      <w:r w:rsidRPr="007E5A50">
        <w:rPr>
          <w:rFonts w:ascii="Verdana" w:hAnsi="Verdana" w:cstheme="minorHAnsi"/>
          <w:b/>
          <w:bCs/>
          <w:sz w:val="24"/>
          <w:szCs w:val="24"/>
          <w:lang w:val="es-MX"/>
        </w:rPr>
        <w:t xml:space="preserve">ÚNICO: 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>Se turne</w:t>
      </w:r>
      <w:r w:rsidR="00006D5D">
        <w:rPr>
          <w:rFonts w:ascii="Verdana" w:hAnsi="Verdana" w:cs="Tahoma"/>
          <w:bCs/>
          <w:sz w:val="24"/>
          <w:szCs w:val="24"/>
          <w:lang w:val="es-MX"/>
        </w:rPr>
        <w:t xml:space="preserve"> la presente iniciativa de ordenamiento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 a la 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>Comisión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 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>Edilicia de Reglamentos y Gobernación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, así como </w:t>
      </w:r>
      <w:r w:rsidR="00572AB0">
        <w:rPr>
          <w:rFonts w:ascii="Verdana" w:hAnsi="Verdana" w:cs="Tahoma"/>
          <w:bCs/>
          <w:sz w:val="24"/>
          <w:szCs w:val="24"/>
          <w:lang w:val="es-MX"/>
        </w:rPr>
        <w:t xml:space="preserve">a 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>la</w:t>
      </w:r>
      <w:r w:rsidR="00E527B4" w:rsidRPr="007E5A50">
        <w:rPr>
          <w:rFonts w:ascii="Verdana" w:hAnsi="Verdana" w:cs="Tahoma"/>
          <w:bCs/>
          <w:sz w:val="24"/>
          <w:szCs w:val="24"/>
          <w:lang w:val="es-MX"/>
        </w:rPr>
        <w:t>s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 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>Comisi</w:t>
      </w:r>
      <w:r w:rsidR="00E527B4" w:rsidRPr="007E5A50">
        <w:rPr>
          <w:rFonts w:ascii="Verdana" w:hAnsi="Verdana" w:cs="Tahoma"/>
          <w:bCs/>
          <w:sz w:val="24"/>
          <w:szCs w:val="24"/>
          <w:lang w:val="es-MX"/>
        </w:rPr>
        <w:t>ones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 xml:space="preserve"> Edilicia</w:t>
      </w:r>
      <w:r w:rsidR="00E527B4" w:rsidRPr="007E5A50">
        <w:rPr>
          <w:rFonts w:ascii="Verdana" w:hAnsi="Verdana" w:cs="Tahoma"/>
          <w:bCs/>
          <w:sz w:val="24"/>
          <w:szCs w:val="24"/>
          <w:lang w:val="es-MX"/>
        </w:rPr>
        <w:t>s de Administración Pública y Obras Públicas, Planeación Urbana y Regularización dela Tenencia de la Tierra,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 xml:space="preserve"> 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>para su</w:t>
      </w:r>
      <w:r w:rsidR="00E01B6A" w:rsidRPr="007E5A50">
        <w:rPr>
          <w:rFonts w:ascii="Verdana" w:hAnsi="Verdana" w:cs="Tahoma"/>
          <w:bCs/>
          <w:sz w:val="24"/>
          <w:szCs w:val="24"/>
          <w:lang w:val="es-MX"/>
        </w:rPr>
        <w:t xml:space="preserve"> estudio y</w:t>
      </w:r>
      <w:r w:rsidRPr="007E5A50">
        <w:rPr>
          <w:rFonts w:ascii="Verdana" w:hAnsi="Verdana" w:cs="Tahoma"/>
          <w:bCs/>
          <w:sz w:val="24"/>
          <w:szCs w:val="24"/>
          <w:lang w:val="es-MX"/>
        </w:rPr>
        <w:t xml:space="preserve"> dictaminación.</w:t>
      </w:r>
    </w:p>
    <w:p w:rsidR="00AB6FAA" w:rsidRPr="007E5A50" w:rsidRDefault="00AB6FAA" w:rsidP="007E5A50">
      <w:pPr>
        <w:spacing w:line="276" w:lineRule="auto"/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E3516F" w:rsidRDefault="00E3516F" w:rsidP="007E5A50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szCs w:val="22"/>
          <w:lang w:val="es-MX"/>
        </w:rPr>
      </w:pPr>
      <w:bookmarkStart w:id="0" w:name="_GoBack"/>
      <w:bookmarkEnd w:id="0"/>
    </w:p>
    <w:p w:rsidR="00E01B6A" w:rsidRPr="007E5A50" w:rsidRDefault="00E01B6A" w:rsidP="007E5A50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szCs w:val="22"/>
          <w:lang w:val="pt-BR"/>
        </w:rPr>
      </w:pPr>
      <w:r w:rsidRPr="007E5A50">
        <w:rPr>
          <w:rFonts w:ascii="Verdana" w:eastAsia="Calibri" w:hAnsi="Verdana" w:cs="Tahoma"/>
          <w:sz w:val="22"/>
          <w:szCs w:val="22"/>
          <w:lang w:val="pt-BR"/>
        </w:rPr>
        <w:t>A T E N T A M E N T E</w:t>
      </w:r>
    </w:p>
    <w:p w:rsidR="00E01B6A" w:rsidRPr="007E5A50" w:rsidRDefault="00E01B6A" w:rsidP="007E5A50">
      <w:pPr>
        <w:spacing w:line="276" w:lineRule="auto"/>
        <w:rPr>
          <w:rFonts w:ascii="Verdana" w:eastAsia="Calibri" w:hAnsi="Verdana" w:cs="Tahoma"/>
          <w:sz w:val="22"/>
          <w:szCs w:val="22"/>
          <w:lang w:val="pt-BR" w:eastAsia="es-ES"/>
        </w:rPr>
      </w:pPr>
    </w:p>
    <w:p w:rsidR="00E01B6A" w:rsidRPr="007E5A50" w:rsidRDefault="00E01B6A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i/>
          <w:sz w:val="22"/>
          <w:szCs w:val="22"/>
          <w:lang w:val="es-MX"/>
        </w:rPr>
      </w:pPr>
      <w:r w:rsidRPr="007E5A50">
        <w:rPr>
          <w:rFonts w:ascii="Verdana" w:hAnsi="Verdana" w:cs="Tahoma"/>
          <w:b/>
          <w:bCs/>
          <w:i/>
          <w:sz w:val="22"/>
          <w:szCs w:val="22"/>
          <w:lang w:val="es-MX"/>
        </w:rPr>
        <w:t xml:space="preserve"> “2019, “AÑO DEL LXXX ANIVERSARIO DE LA ESCUELA SECUNDARIA BENITO JUÁREZ”</w:t>
      </w:r>
    </w:p>
    <w:p w:rsidR="00E01B6A" w:rsidRPr="007E5A50" w:rsidRDefault="00E01B6A" w:rsidP="007E5A50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szCs w:val="22"/>
          <w:lang w:eastAsia="en-US"/>
        </w:rPr>
      </w:pPr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 xml:space="preserve">Ciudad Guzmán, </w:t>
      </w:r>
      <w:proofErr w:type="spellStart"/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>Mpio</w:t>
      </w:r>
      <w:proofErr w:type="spellEnd"/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 xml:space="preserve">. </w:t>
      </w:r>
      <w:proofErr w:type="gramStart"/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>de</w:t>
      </w:r>
      <w:proofErr w:type="gramEnd"/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 xml:space="preserve"> Zapotlán el Grande, Jalisco, </w:t>
      </w:r>
      <w:r w:rsidR="00E3516F">
        <w:rPr>
          <w:rFonts w:ascii="Verdana" w:eastAsia="Calibri" w:hAnsi="Verdana" w:cs="Tahoma"/>
          <w:b w:val="0"/>
          <w:bCs w:val="0"/>
          <w:sz w:val="22"/>
          <w:szCs w:val="22"/>
        </w:rPr>
        <w:t>14</w:t>
      </w:r>
      <w:r w:rsidRPr="007E5A50">
        <w:rPr>
          <w:rFonts w:ascii="Verdana" w:eastAsia="Calibri" w:hAnsi="Verdana" w:cs="Tahoma"/>
          <w:b w:val="0"/>
          <w:bCs w:val="0"/>
          <w:sz w:val="22"/>
          <w:szCs w:val="22"/>
        </w:rPr>
        <w:t xml:space="preserve"> enero del año 2019 dos mil diecinueve.</w:t>
      </w:r>
    </w:p>
    <w:p w:rsidR="00E01B6A" w:rsidRPr="007E5A50" w:rsidRDefault="00E01B6A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4"/>
          <w:lang w:val="es-ES"/>
        </w:rPr>
      </w:pPr>
    </w:p>
    <w:p w:rsidR="00E01B6A" w:rsidRDefault="00E01B6A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4"/>
          <w:lang w:val="es-ES"/>
        </w:rPr>
      </w:pPr>
    </w:p>
    <w:p w:rsidR="00E3516F" w:rsidRDefault="00E3516F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4"/>
          <w:lang w:val="es-ES"/>
        </w:rPr>
      </w:pPr>
    </w:p>
    <w:p w:rsidR="00E3516F" w:rsidRDefault="00E3516F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4"/>
          <w:lang w:val="es-ES"/>
        </w:rPr>
      </w:pPr>
    </w:p>
    <w:p w:rsidR="00E3516F" w:rsidRPr="007E5A50" w:rsidRDefault="00E3516F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Cs w:val="24"/>
          <w:lang w:val="es-ES"/>
        </w:rPr>
      </w:pPr>
    </w:p>
    <w:p w:rsidR="00E01B6A" w:rsidRPr="007E5A50" w:rsidRDefault="00E01B6A" w:rsidP="007E5A50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E01B6A" w:rsidRPr="007E5A50" w:rsidRDefault="00E01B6A" w:rsidP="007E5A50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FD67D6" w:rsidRPr="007E5A50" w:rsidRDefault="00E01B6A" w:rsidP="007E5A50">
      <w:pPr>
        <w:pStyle w:val="Textoindependiente2"/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  <w:r w:rsidRPr="007E5A50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sectPr w:rsidR="00FD67D6" w:rsidRPr="007E5A50">
      <w:headerReference w:type="default" r:id="rId8"/>
      <w:footerReference w:type="even" r:id="rId9"/>
      <w:footerReference w:type="default" r:id="rId10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59" w:rsidRDefault="008E2C59" w:rsidP="00120BC3">
      <w:r>
        <w:separator/>
      </w:r>
    </w:p>
  </w:endnote>
  <w:endnote w:type="continuationSeparator" w:id="0">
    <w:p w:rsidR="008E2C59" w:rsidRDefault="008E2C59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D6" w:rsidRDefault="00F75DC2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E3516F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D6" w:rsidRDefault="00F75DC2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516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E3516F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59" w:rsidRDefault="008E2C59" w:rsidP="00120BC3">
      <w:r>
        <w:separator/>
      </w:r>
    </w:p>
  </w:footnote>
  <w:footnote w:type="continuationSeparator" w:id="0">
    <w:p w:rsidR="008E2C59" w:rsidRDefault="008E2C59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C3" w:rsidRDefault="00E3516F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290918_ZAPOTLAN_HojaMembretada-01" style="position:absolute;margin-left:-90pt;margin-top:-78.5pt;width:612.55pt;height:792.55pt;z-index:-251658752;mso-wrap-edited:f;mso-width-percent:0;mso-height-percent:0;mso-position-horizontal-relative:margin;mso-position-vertical-relative:margin;mso-width-percent:0;mso-height-percent:0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AA"/>
    <w:rsid w:val="00006D5D"/>
    <w:rsid w:val="00065580"/>
    <w:rsid w:val="001131AA"/>
    <w:rsid w:val="00120BC3"/>
    <w:rsid w:val="001F2DFC"/>
    <w:rsid w:val="0022685C"/>
    <w:rsid w:val="0037716A"/>
    <w:rsid w:val="003A4442"/>
    <w:rsid w:val="003F110B"/>
    <w:rsid w:val="004548AD"/>
    <w:rsid w:val="00572AB0"/>
    <w:rsid w:val="005757F3"/>
    <w:rsid w:val="005E22B5"/>
    <w:rsid w:val="006456BF"/>
    <w:rsid w:val="007A2D0E"/>
    <w:rsid w:val="007E5A50"/>
    <w:rsid w:val="00831456"/>
    <w:rsid w:val="008E2C59"/>
    <w:rsid w:val="00A01034"/>
    <w:rsid w:val="00A71A58"/>
    <w:rsid w:val="00AB6FAA"/>
    <w:rsid w:val="00AE7A1E"/>
    <w:rsid w:val="00B438FD"/>
    <w:rsid w:val="00B54676"/>
    <w:rsid w:val="00B631F8"/>
    <w:rsid w:val="00BF070B"/>
    <w:rsid w:val="00C10A4D"/>
    <w:rsid w:val="00DD463A"/>
    <w:rsid w:val="00E01B6A"/>
    <w:rsid w:val="00E3516F"/>
    <w:rsid w:val="00E527B4"/>
    <w:rsid w:val="00E779BB"/>
    <w:rsid w:val="00F52D24"/>
    <w:rsid w:val="00F66623"/>
    <w:rsid w:val="00F727BA"/>
    <w:rsid w:val="00F75DC2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inespaciado1">
    <w:name w:val="Sin espaciado1"/>
    <w:uiPriority w:val="99"/>
    <w:rsid w:val="004548A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Sinespaciado1">
    <w:name w:val="Sin espaciado1"/>
    <w:uiPriority w:val="99"/>
    <w:rsid w:val="004548A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96A2-8B9A-438D-8491-E859F5E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</cp:revision>
  <dcterms:created xsi:type="dcterms:W3CDTF">2019-01-14T15:38:00Z</dcterms:created>
  <dcterms:modified xsi:type="dcterms:W3CDTF">2019-01-14T15:46:00Z</dcterms:modified>
</cp:coreProperties>
</file>