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BC90A" w14:textId="77777777" w:rsidR="00334BD6" w:rsidRDefault="00334BD6" w:rsidP="002F76B5">
      <w:pPr>
        <w:rPr>
          <w:rFonts w:ascii="Bookman Old Style" w:hAnsi="Bookman Old Style"/>
          <w:b/>
          <w:bCs/>
          <w:sz w:val="24"/>
          <w:szCs w:val="24"/>
        </w:rPr>
      </w:pPr>
    </w:p>
    <w:p w14:paraId="65B3BF0F" w14:textId="11025BE3" w:rsidR="00C17082" w:rsidRPr="00C17082" w:rsidRDefault="00C17082" w:rsidP="002F76B5">
      <w:pPr>
        <w:rPr>
          <w:rFonts w:ascii="Bookman Old Style" w:hAnsi="Bookman Old Style"/>
          <w:b/>
          <w:bCs/>
          <w:sz w:val="24"/>
          <w:szCs w:val="24"/>
        </w:rPr>
      </w:pPr>
      <w:r w:rsidRPr="00C17082">
        <w:rPr>
          <w:rFonts w:ascii="Bookman Old Style" w:hAnsi="Bookman Old Style"/>
          <w:b/>
          <w:bCs/>
          <w:sz w:val="24"/>
          <w:szCs w:val="24"/>
        </w:rPr>
        <w:t>HONORABLE AYUNTAMIENTO CONSTITUCIONAL</w:t>
      </w:r>
      <w:r w:rsidR="002F76B5">
        <w:rPr>
          <w:rFonts w:ascii="Bookman Old Style" w:hAnsi="Bookman Old Style"/>
          <w:b/>
          <w:bCs/>
          <w:sz w:val="24"/>
          <w:szCs w:val="24"/>
        </w:rPr>
        <w:br/>
      </w:r>
      <w:r w:rsidRPr="00C17082">
        <w:rPr>
          <w:rFonts w:ascii="Bookman Old Style" w:hAnsi="Bookman Old Style"/>
          <w:b/>
          <w:bCs/>
          <w:sz w:val="24"/>
          <w:szCs w:val="24"/>
        </w:rPr>
        <w:t>DE ZAPOTLÁN EL GRANDE, JALISCO.</w:t>
      </w:r>
    </w:p>
    <w:p w14:paraId="3BB57D30" w14:textId="7833BAF5" w:rsidR="00C17082" w:rsidRDefault="00C17082" w:rsidP="002F76B5">
      <w:pPr>
        <w:rPr>
          <w:rFonts w:ascii="Bookman Old Style" w:hAnsi="Bookman Old Style"/>
          <w:b/>
          <w:bCs/>
          <w:sz w:val="24"/>
          <w:szCs w:val="24"/>
        </w:rPr>
      </w:pPr>
      <w:r w:rsidRPr="00C17082">
        <w:rPr>
          <w:rFonts w:ascii="Bookman Old Style" w:hAnsi="Bookman Old Style"/>
          <w:b/>
          <w:bCs/>
          <w:sz w:val="24"/>
          <w:szCs w:val="24"/>
        </w:rPr>
        <w:t>P R E S E N T E.</w:t>
      </w:r>
    </w:p>
    <w:p w14:paraId="73985172" w14:textId="77777777" w:rsidR="002F76B5" w:rsidRPr="00C17082" w:rsidRDefault="002F76B5" w:rsidP="00C17082">
      <w:pPr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3C907301" w14:textId="3BFB8F37" w:rsidR="00C17082" w:rsidRPr="00CC473C" w:rsidRDefault="00CC473C" w:rsidP="002F76B5">
      <w:pPr>
        <w:ind w:firstLine="1418"/>
        <w:jc w:val="both"/>
        <w:rPr>
          <w:rFonts w:ascii="Arial" w:hAnsi="Arial" w:cs="Arial"/>
        </w:rPr>
      </w:pPr>
      <w:r w:rsidRPr="00CC473C">
        <w:rPr>
          <w:rFonts w:ascii="Bookman Old Style" w:hAnsi="Bookman Old Style" w:cs="Arial"/>
          <w:sz w:val="24"/>
          <w:szCs w:val="24"/>
        </w:rPr>
        <w:t xml:space="preserve">Quienes motivan y suscriben </w:t>
      </w:r>
      <w:r w:rsidRPr="00CC473C">
        <w:rPr>
          <w:rFonts w:ascii="Bookman Old Style" w:hAnsi="Bookman Old Style" w:cs="Arial"/>
          <w:b/>
          <w:bCs/>
          <w:sz w:val="24"/>
          <w:szCs w:val="24"/>
        </w:rPr>
        <w:t xml:space="preserve">CC. ERNESTO SANCHEZ </w:t>
      </w:r>
      <w:proofErr w:type="spellStart"/>
      <w:r w:rsidRPr="00CC473C">
        <w:rPr>
          <w:rFonts w:ascii="Bookman Old Style" w:hAnsi="Bookman Old Style" w:cs="Arial"/>
          <w:b/>
          <w:bCs/>
          <w:sz w:val="24"/>
          <w:szCs w:val="24"/>
        </w:rPr>
        <w:t>SANCHEZ</w:t>
      </w:r>
      <w:proofErr w:type="spellEnd"/>
      <w:r w:rsidRPr="00CC473C">
        <w:rPr>
          <w:rFonts w:ascii="Bookman Old Style" w:hAnsi="Bookman Old Style" w:cs="Arial"/>
          <w:b/>
          <w:bCs/>
          <w:sz w:val="24"/>
          <w:szCs w:val="24"/>
        </w:rPr>
        <w:t xml:space="preserve">, MARISOL MENDOZA PINTO Y OSCAR MURGUIA TORRES, </w:t>
      </w:r>
      <w:r w:rsidRPr="00CC473C">
        <w:rPr>
          <w:rFonts w:ascii="Bookman Old Style" w:hAnsi="Bookman Old Style" w:cs="Arial"/>
          <w:bCs/>
          <w:sz w:val="24"/>
          <w:szCs w:val="24"/>
        </w:rPr>
        <w:t>Regidor Presidente el primero y los dos restantes vocales integrantes de la Comisión Edilicia Permanente de Espectáculos Públicos, inspección y Vigilancia de este Honorable Ayuntamiento Constitucional de Zapotlán el Grande, Jalisco</w:t>
      </w:r>
      <w:r w:rsidR="00C17082" w:rsidRPr="00C17082">
        <w:rPr>
          <w:rFonts w:ascii="Bookman Old Style" w:hAnsi="Bookman Old Style"/>
          <w:sz w:val="24"/>
          <w:szCs w:val="24"/>
        </w:rPr>
        <w:t xml:space="preserve">, en ejercicio de las facultades y atribuciones que me confieren los artículos 115, fracciones I y II de la Constitución Política de los Estados Unidos Mexicanos; 1, 2, 73, 77, 85 fracción IV y 86 de la Constitución Política del Estado Libre y </w:t>
      </w:r>
      <w:r w:rsidR="00C17082" w:rsidRPr="00CC473C">
        <w:rPr>
          <w:rFonts w:ascii="Bookman Old Style" w:hAnsi="Bookman Old Style"/>
          <w:sz w:val="24"/>
          <w:szCs w:val="24"/>
        </w:rPr>
        <w:t xml:space="preserve">Soberano de Jalisco; </w:t>
      </w:r>
      <w:r w:rsidRPr="00CC473C">
        <w:rPr>
          <w:rFonts w:ascii="Bookman Old Style" w:hAnsi="Bookman Old Style" w:cs="Arial"/>
          <w:sz w:val="24"/>
          <w:szCs w:val="24"/>
        </w:rPr>
        <w:t>1, 2, 3, 10, 38, 41, 52, 53, 54 y demás relativos y aplicables de la Ley del Gobierno y de la Administración Pública Municipal del Estado de Jalisco;</w:t>
      </w:r>
      <w:r w:rsidR="00C17082" w:rsidRPr="00CC473C">
        <w:rPr>
          <w:rFonts w:ascii="Bookman Old Style" w:hAnsi="Bookman Old Style"/>
          <w:sz w:val="24"/>
          <w:szCs w:val="24"/>
        </w:rPr>
        <w:t xml:space="preserve">; artículos 1, 4, 7, 8 y demás conducentes de la Ley de Mejora Regulatoria para el Estado de Jalisco y sus Municipios; </w:t>
      </w:r>
      <w:r w:rsidRPr="00CC473C">
        <w:rPr>
          <w:rFonts w:ascii="Bookman Old Style" w:hAnsi="Bookman Old Style" w:cs="Arial"/>
          <w:sz w:val="24"/>
          <w:szCs w:val="24"/>
        </w:rPr>
        <w:t>91, 92, 96, 108, 109 y demás relativos y aplicables del Reglamento Interior del Ayuntamiento de Zapotlán el Grande, Jalisco</w:t>
      </w:r>
      <w:r w:rsidRPr="00CC473C">
        <w:rPr>
          <w:rFonts w:ascii="Bookman Old Style" w:hAnsi="Bookman Old Style" w:cs="Arial"/>
          <w:sz w:val="24"/>
          <w:szCs w:val="24"/>
        </w:rPr>
        <w:t xml:space="preserve"> </w:t>
      </w:r>
      <w:r w:rsidR="00C17082" w:rsidRPr="00CC473C">
        <w:rPr>
          <w:rFonts w:ascii="Bookman Old Style" w:hAnsi="Bookman Old Style"/>
          <w:sz w:val="24"/>
          <w:szCs w:val="24"/>
        </w:rPr>
        <w:t xml:space="preserve">así como los artículos 37, 38 fracción VIII, 40, 47, 87, 90, 92, 99, 104 al 109 y correlativos aplicables del Reglamento Interior del Ayuntamiento de Zapotlán el Grande, Jalisco; tengo a bien presentar a la elevada y distinguida consideración del Pleno de este Honorable Cuerpo Edilicio la presente </w:t>
      </w:r>
      <w:r w:rsidR="00C17082" w:rsidRPr="002F76B5">
        <w:rPr>
          <w:rFonts w:ascii="Bookman Old Style" w:hAnsi="Bookman Old Style"/>
          <w:b/>
          <w:bCs/>
          <w:sz w:val="24"/>
          <w:szCs w:val="24"/>
        </w:rPr>
        <w:t>INICIATIVA DE ORDENAMIENTO MUNICIPAL CON TURNO A COMISIONES EDILICIAS PARA EL ANÁLISIS, ESTUDIO Y EMISIÓN DE DICTAMEN DEL PROYECTO DE REFORMA Y DEROGACIÓN DE DIVERSOS ARTÍCULOS DEL REGLAMENTO SOBRE LA VENTA Y CONSUMO DE BEBIDAS ALCOHÓLICAS DEL MUNICIPIO DE ZAPOTLÁN EL GRANDE, JALISCO</w:t>
      </w:r>
      <w:r w:rsidR="00CC15E9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C17082" w:rsidRPr="00CC473C">
        <w:rPr>
          <w:rFonts w:ascii="Bookman Old Style" w:hAnsi="Bookman Old Style"/>
          <w:sz w:val="24"/>
          <w:szCs w:val="24"/>
        </w:rPr>
        <w:t>con base en la siguiente:</w:t>
      </w:r>
    </w:p>
    <w:p w14:paraId="56B25E97" w14:textId="77777777" w:rsidR="00C17082" w:rsidRPr="00C17082" w:rsidRDefault="00C17082" w:rsidP="00C17082">
      <w:pPr>
        <w:jc w:val="both"/>
        <w:rPr>
          <w:rFonts w:ascii="Bookman Old Style" w:hAnsi="Bookman Old Style"/>
          <w:sz w:val="24"/>
          <w:szCs w:val="24"/>
        </w:rPr>
      </w:pPr>
    </w:p>
    <w:p w14:paraId="0C98BBAB" w14:textId="3013487F" w:rsidR="00C17082" w:rsidRDefault="00C17082" w:rsidP="002F76B5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2F76B5">
        <w:rPr>
          <w:rFonts w:ascii="Bookman Old Style" w:hAnsi="Bookman Old Style"/>
          <w:b/>
          <w:bCs/>
          <w:sz w:val="24"/>
          <w:szCs w:val="24"/>
        </w:rPr>
        <w:t xml:space="preserve">E X P O S I C I </w:t>
      </w:r>
      <w:proofErr w:type="spellStart"/>
      <w:r w:rsidRPr="002F76B5">
        <w:rPr>
          <w:rFonts w:ascii="Bookman Old Style" w:hAnsi="Bookman Old Style"/>
          <w:b/>
          <w:bCs/>
          <w:sz w:val="24"/>
          <w:szCs w:val="24"/>
        </w:rPr>
        <w:t>Ó</w:t>
      </w:r>
      <w:proofErr w:type="spellEnd"/>
      <w:r w:rsidRPr="002F76B5">
        <w:rPr>
          <w:rFonts w:ascii="Bookman Old Style" w:hAnsi="Bookman Old Style"/>
          <w:b/>
          <w:bCs/>
          <w:sz w:val="24"/>
          <w:szCs w:val="24"/>
        </w:rPr>
        <w:t xml:space="preserve"> N   D E   M O T I V O S</w:t>
      </w:r>
      <w:r w:rsidR="002F76B5">
        <w:rPr>
          <w:rFonts w:ascii="Bookman Old Style" w:hAnsi="Bookman Old Style"/>
          <w:b/>
          <w:bCs/>
          <w:sz w:val="24"/>
          <w:szCs w:val="24"/>
        </w:rPr>
        <w:t>.</w:t>
      </w:r>
    </w:p>
    <w:p w14:paraId="6ED10B06" w14:textId="77777777" w:rsidR="002F76B5" w:rsidRPr="002F76B5" w:rsidRDefault="002F76B5" w:rsidP="002F76B5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5A643B7A" w14:textId="3D1AD1B4" w:rsidR="00C17082" w:rsidRPr="002F76B5" w:rsidRDefault="00C17082" w:rsidP="002F76B5">
      <w:pPr>
        <w:ind w:firstLine="1418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2F76B5">
        <w:rPr>
          <w:rFonts w:ascii="Bookman Old Style" w:hAnsi="Bookman Old Style"/>
          <w:b/>
          <w:bCs/>
          <w:sz w:val="24"/>
          <w:szCs w:val="24"/>
          <w:u w:val="single"/>
        </w:rPr>
        <w:t>I. Fundamento Constitucional, Legal y Autonomía Municipal</w:t>
      </w:r>
      <w:r w:rsidR="002F76B5">
        <w:rPr>
          <w:rFonts w:ascii="Bookman Old Style" w:hAnsi="Bookman Old Style"/>
          <w:b/>
          <w:bCs/>
          <w:sz w:val="24"/>
          <w:szCs w:val="24"/>
          <w:u w:val="single"/>
        </w:rPr>
        <w:t>.</w:t>
      </w:r>
    </w:p>
    <w:p w14:paraId="59F64209" w14:textId="3CB1F8B0" w:rsidR="00334BD6" w:rsidRDefault="00C17082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 xml:space="preserve">Nuestra Carta Magna, en su artículo 115, fracciones I y II, erige al Municipio Libre como la base de la división territorial y de la organización </w:t>
      </w:r>
    </w:p>
    <w:p w14:paraId="129E4B43" w14:textId="77777777" w:rsidR="00CC15E9" w:rsidRDefault="00CC15E9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39B43EC9" w14:textId="77777777" w:rsidR="00334BD6" w:rsidRDefault="00334BD6" w:rsidP="00334BD6">
      <w:pPr>
        <w:jc w:val="both"/>
        <w:rPr>
          <w:rFonts w:ascii="Bookman Old Style" w:hAnsi="Bookman Old Style"/>
          <w:sz w:val="24"/>
          <w:szCs w:val="24"/>
        </w:rPr>
      </w:pPr>
    </w:p>
    <w:p w14:paraId="524AA58A" w14:textId="57502BFC" w:rsidR="00C17082" w:rsidRPr="00C17082" w:rsidRDefault="00C17082" w:rsidP="00334BD6">
      <w:pPr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política y administrativa de los Estados de la República</w:t>
      </w:r>
      <w:r w:rsidR="00334BD6">
        <w:rPr>
          <w:rFonts w:ascii="Bookman Old Style" w:hAnsi="Bookman Old Style"/>
          <w:sz w:val="24"/>
          <w:szCs w:val="24"/>
        </w:rPr>
        <w:t xml:space="preserve"> Mexicana</w:t>
      </w:r>
      <w:r w:rsidRPr="00C17082">
        <w:rPr>
          <w:rFonts w:ascii="Bookman Old Style" w:hAnsi="Bookman Old Style"/>
          <w:sz w:val="24"/>
          <w:szCs w:val="24"/>
        </w:rPr>
        <w:t xml:space="preserve">, reconociendo formalmente que cada Municipio será gobernado por un Ayuntamiento de elección popular directa, dotado de personalidad jurídica propia y con facultades soberanas para administrar libremente su hacienda y patrimonio. En este </w:t>
      </w:r>
      <w:r w:rsidR="00334BD6">
        <w:rPr>
          <w:rFonts w:ascii="Bookman Old Style" w:hAnsi="Bookman Old Style"/>
          <w:sz w:val="24"/>
          <w:szCs w:val="24"/>
        </w:rPr>
        <w:t>sentido</w:t>
      </w:r>
      <w:r w:rsidRPr="00C17082">
        <w:rPr>
          <w:rFonts w:ascii="Bookman Old Style" w:hAnsi="Bookman Old Style"/>
          <w:sz w:val="24"/>
          <w:szCs w:val="24"/>
        </w:rPr>
        <w:t>, confiere facultades exclusivas a los Ayuntamientos para expedir y actualizar bandos de policía y gobierno, reglamentos, circulares y disposiciones administrativas de observancia general dentro de sus ámbitos territoriales, normando con plena potestad los procedimientos, funciones y servicios públicos que garanticen el orden social, la certeza jurídica comunitaria y el desarrollo armónico.</w:t>
      </w:r>
    </w:p>
    <w:p w14:paraId="14BD8065" w14:textId="551DBFBF" w:rsidR="00C17082" w:rsidRPr="00C17082" w:rsidRDefault="00C17082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En correlación armónica con los postulados federales, la Constitución Política del Estado Libre y Soberano de Jalisco, en sus numerales 73 y 77, consagra la autonomía reglamentaria y de gestión del Municipio como orden de gobierno fundamental. De forma paralela, la Ley del Gobierno y la Administración Pública Municipal del Estado de Jalisco mandata en sus artículos 37</w:t>
      </w:r>
      <w:r w:rsidR="00CC473C">
        <w:rPr>
          <w:rFonts w:ascii="Bookman Old Style" w:hAnsi="Bookman Old Style"/>
          <w:sz w:val="24"/>
          <w:szCs w:val="24"/>
        </w:rPr>
        <w:t xml:space="preserve"> </w:t>
      </w:r>
      <w:r w:rsidRPr="00C17082">
        <w:rPr>
          <w:rFonts w:ascii="Bookman Old Style" w:hAnsi="Bookman Old Style"/>
          <w:sz w:val="24"/>
          <w:szCs w:val="24"/>
        </w:rPr>
        <w:t>y 40 fracción II, la obligación ineludible de los cuerpos colegiados de gobierno de mantener un marco reglamentario que garantice una actuación gubernamental eficaz, expedita, transparente y adaptada a las necesidades reales del desarrollo socioeconómico del municipio.</w:t>
      </w:r>
    </w:p>
    <w:p w14:paraId="44F34D53" w14:textId="65B846AF" w:rsidR="00C17082" w:rsidRPr="002F76B5" w:rsidRDefault="00C17082" w:rsidP="002F76B5">
      <w:pPr>
        <w:ind w:firstLine="1418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2F76B5">
        <w:rPr>
          <w:rFonts w:ascii="Bookman Old Style" w:hAnsi="Bookman Old Style"/>
          <w:b/>
          <w:bCs/>
          <w:sz w:val="24"/>
          <w:szCs w:val="24"/>
          <w:u w:val="single"/>
        </w:rPr>
        <w:t>II. La Mejora Regulatoria y la Eficiencia Gubernamental como Eje Rector</w:t>
      </w:r>
      <w:r w:rsidR="002F76B5">
        <w:rPr>
          <w:rFonts w:ascii="Bookman Old Style" w:hAnsi="Bookman Old Style"/>
          <w:b/>
          <w:bCs/>
          <w:sz w:val="24"/>
          <w:szCs w:val="24"/>
          <w:u w:val="single"/>
        </w:rPr>
        <w:t>.</w:t>
      </w:r>
    </w:p>
    <w:p w14:paraId="44EA508E" w14:textId="77777777" w:rsidR="00C17082" w:rsidRPr="00C17082" w:rsidRDefault="00C17082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El servicio público moderno se rige bajo la premisa indiscutible de que el aparato estatal existe para facilitar el ejercicio pleno de los derechos ciudadanos y fomentar el florecimiento de la actividad económica honesta. La Ley de Mejora Regulatoria para el Estado de Jalisco y sus Municipios establece con fuerza vinculante que los gobiernos municipales deben implementar políticas permanentes de desregulación, eliminación de exigencias burocráticas redundantes, interoperabilidad entre dependencias públicas y aprovechamiento de plataformas de gobierno electrónico.</w:t>
      </w:r>
    </w:p>
    <w:p w14:paraId="6C212489" w14:textId="43EAA1D7" w:rsidR="00C17082" w:rsidRDefault="00C17082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 xml:space="preserve">Cuando </w:t>
      </w:r>
      <w:r w:rsidR="00334BD6">
        <w:rPr>
          <w:rFonts w:ascii="Bookman Old Style" w:hAnsi="Bookman Old Style"/>
          <w:sz w:val="24"/>
          <w:szCs w:val="24"/>
        </w:rPr>
        <w:t>un reglamento</w:t>
      </w:r>
      <w:r w:rsidRPr="00C17082">
        <w:rPr>
          <w:rFonts w:ascii="Bookman Old Style" w:hAnsi="Bookman Old Style"/>
          <w:sz w:val="24"/>
          <w:szCs w:val="24"/>
        </w:rPr>
        <w:t xml:space="preserve"> municipal impone trabas que no aportan valor sustantivo a la seguridad pública, a la protección civil o a la vialidad, pero que en </w:t>
      </w:r>
      <w:r w:rsidR="00334BD6">
        <w:rPr>
          <w:rFonts w:ascii="Bookman Old Style" w:hAnsi="Bookman Old Style"/>
          <w:sz w:val="24"/>
          <w:szCs w:val="24"/>
        </w:rPr>
        <w:t xml:space="preserve">su contraparte </w:t>
      </w:r>
      <w:r w:rsidRPr="00C17082">
        <w:rPr>
          <w:rFonts w:ascii="Bookman Old Style" w:hAnsi="Bookman Old Style"/>
          <w:sz w:val="24"/>
          <w:szCs w:val="24"/>
        </w:rPr>
        <w:t>consumen semanas de tiempo al ciudadano, saturan las capacidades técnicas operativas de las dependencias y retrasan la captación oportuna de los ingresos fiscales del Municipio, es imperativo intervenir con celeridad legislativa para devolverle al ordenamiento su vocación de instrumento al servicio del pueblo.</w:t>
      </w:r>
    </w:p>
    <w:p w14:paraId="1B4F7F83" w14:textId="53DB863A" w:rsidR="00334BD6" w:rsidRDefault="00334BD6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27B93D68" w14:textId="08758C8F" w:rsidR="00334BD6" w:rsidRDefault="00334BD6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4E838A83" w14:textId="3D7BA535" w:rsidR="00C17082" w:rsidRPr="002F76B5" w:rsidRDefault="00C17082" w:rsidP="002F76B5">
      <w:pPr>
        <w:ind w:firstLine="1418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2F76B5">
        <w:rPr>
          <w:rFonts w:ascii="Bookman Old Style" w:hAnsi="Bookman Old Style"/>
          <w:b/>
          <w:bCs/>
          <w:sz w:val="24"/>
          <w:szCs w:val="24"/>
          <w:u w:val="single"/>
        </w:rPr>
        <w:t>III. Diagnóstico Integral y Justificación de las Áreas de Oportunidad</w:t>
      </w:r>
      <w:r w:rsidR="002F76B5">
        <w:rPr>
          <w:rFonts w:ascii="Bookman Old Style" w:hAnsi="Bookman Old Style"/>
          <w:b/>
          <w:bCs/>
          <w:sz w:val="24"/>
          <w:szCs w:val="24"/>
          <w:u w:val="single"/>
        </w:rPr>
        <w:t>.</w:t>
      </w:r>
    </w:p>
    <w:p w14:paraId="2765AF6A" w14:textId="77777777" w:rsidR="00C17082" w:rsidRPr="00C17082" w:rsidRDefault="00C17082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De la revisión técnica efectuada a la dinámica operativa que rige el actual Reglamento sobre la Venta y Consumo de Bebidas Alcohólicas del Municipio de Zapotlán el Grande, se identifican con precisión las siguientes áreas críticas de sobrecarga procesal:</w:t>
      </w:r>
    </w:p>
    <w:p w14:paraId="03073799" w14:textId="77777777" w:rsidR="00C17082" w:rsidRPr="00C17082" w:rsidRDefault="00C17082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2F76B5">
        <w:rPr>
          <w:rFonts w:ascii="Bookman Old Style" w:hAnsi="Bookman Old Style"/>
          <w:b/>
          <w:bCs/>
          <w:sz w:val="24"/>
          <w:szCs w:val="24"/>
        </w:rPr>
        <w:t>1.</w:t>
      </w:r>
      <w:r w:rsidRPr="00C17082">
        <w:rPr>
          <w:rFonts w:ascii="Bookman Old Style" w:hAnsi="Bookman Old Style"/>
          <w:sz w:val="24"/>
          <w:szCs w:val="24"/>
        </w:rPr>
        <w:t xml:space="preserve"> Eliminación de la renovación anual del Dictamen Vial en trámites de refrendo (Artículo 32, Fracción IV): Actualmente se exige que cada año, para refrendar una licencia ya existente y debidamente autorizada, el particular gestione un nuevo dictamen ante la Dirección de Movilidad y Seguridad Vial. Esta exigencia carece de sustento técnico racional: las condiciones geométricas de la vía pública y la infraestructura física del inmueble no cambian por el simple vencimiento del ejercicio fiscal. Dicho estudio es plenamente justificado para aperturas originales o ampliaciones físicas (artículos 27 y 39), pero imponerlo año con año en el refrendo sobrecarga innecesariamente a los peritos viales y dilata injustificadamente el cumplimiento del contribuyente.</w:t>
      </w:r>
    </w:p>
    <w:p w14:paraId="46ECA400" w14:textId="77777777" w:rsidR="00C17082" w:rsidRPr="00C17082" w:rsidRDefault="00C17082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2F76B5">
        <w:rPr>
          <w:rFonts w:ascii="Bookman Old Style" w:hAnsi="Bookman Old Style"/>
          <w:b/>
          <w:bCs/>
          <w:sz w:val="24"/>
          <w:szCs w:val="24"/>
        </w:rPr>
        <w:t>2.</w:t>
      </w:r>
      <w:r w:rsidRPr="00C17082">
        <w:rPr>
          <w:rFonts w:ascii="Bookman Old Style" w:hAnsi="Bookman Old Style"/>
          <w:sz w:val="24"/>
          <w:szCs w:val="24"/>
        </w:rPr>
        <w:t xml:space="preserve"> Derogación de la renovación anual del Dictamen de Protección Civil en refrendos (Artículo 32, Fracción III): Imponer como requisito de refrendo la renovación anual del dictamen de Protección Civil y aforo para establecimientos genera durante los primeros meses del año un embudo técnico inmanejable para la Dirección de la Unidad Municipal de Protección Civil y Bomberos. Esta corporación cuenta con facultades permanentes de inspección física aleatoria y verificación continua de medidas de seguridad; por ende, atar el pago del refrendo fiscal a una renovación documental anual paraliza a los inspectores de emergencias y posterga los ingresos municipales. El dictamen de aforo debe ser obligatorio y riguroso en aperturas originales o ante remodelaciones estructurales.</w:t>
      </w:r>
    </w:p>
    <w:p w14:paraId="7F5C6F69" w14:textId="52D96F7F" w:rsidR="00C17082" w:rsidRDefault="00C17082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2F76B5">
        <w:rPr>
          <w:rFonts w:ascii="Bookman Old Style" w:hAnsi="Bookman Old Style"/>
          <w:b/>
          <w:bCs/>
          <w:sz w:val="24"/>
          <w:szCs w:val="24"/>
        </w:rPr>
        <w:t>3.</w:t>
      </w:r>
      <w:r w:rsidRPr="00C17082">
        <w:rPr>
          <w:rFonts w:ascii="Bookman Old Style" w:hAnsi="Bookman Old Style"/>
          <w:sz w:val="24"/>
          <w:szCs w:val="24"/>
        </w:rPr>
        <w:t xml:space="preserve"> Erradicación del ciudadano como 'mensajero interno' e Interoperabilidad Digital (Artículo 32, Fracción V): Exigir a quien acude a refrendar que tramite presencialmente una 'constancia de no adeudo' en la Hacienda Municipal para llevarla en mano a la Oficialía de Padrón y Licencias atenta contra los principios más básicos de eficiencia institucional. Ambas oficinas forman parte del mismo Ayuntamiento. La validación del cumplimiento tributario debe realizarse de oficio a través de la interconexión de sistemas y bases de datos internas, liberando al gobernado de cargas que la administración puede solventar por sí misma.</w:t>
      </w:r>
    </w:p>
    <w:p w14:paraId="7A974A1A" w14:textId="1902C806" w:rsidR="00334BD6" w:rsidRDefault="00334BD6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1AC05C55" w14:textId="77777777" w:rsidR="00334BD6" w:rsidRPr="00C17082" w:rsidRDefault="00334BD6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182B1711" w14:textId="77777777" w:rsidR="00C17082" w:rsidRPr="00C17082" w:rsidRDefault="00C17082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2F76B5">
        <w:rPr>
          <w:rFonts w:ascii="Bookman Old Style" w:hAnsi="Bookman Old Style"/>
          <w:b/>
          <w:bCs/>
          <w:sz w:val="24"/>
          <w:szCs w:val="24"/>
        </w:rPr>
        <w:t>4.</w:t>
      </w:r>
      <w:r w:rsidRPr="00C17082">
        <w:rPr>
          <w:rFonts w:ascii="Bookman Old Style" w:hAnsi="Bookman Old Style"/>
          <w:sz w:val="24"/>
          <w:szCs w:val="24"/>
        </w:rPr>
        <w:t xml:space="preserve"> Desconcentración en giros de bajo impacto y desahogo de la agenda del Pleno (Artículo 28, Fracciones IV y V): En el esquema reglamentario en vigor, absolutamente todas las solicitudes de licencias —incluyendo giros de muy bajo impacto y de carácter predominantemente vecinal como abarrotes con venta de cerveza en envase cerrado (artículos 21 y 22)— deben agotar todo el procedimiento de estudio en comisiones edilicias y ser sometidas a votación en el Pleno del Ayuntamiento. Esto desvirtúa el rol de máxima asamblea deliberativa del Cabildo, saturándolo con asuntos de naturaleza estrictamente técnica y administrativa. Se plantea que las licencias de bajo impacto se resuelvan administrativamente por Padrón y Licencias, reservando al Pleno la aprobación exclusiva de los giros de alto impacto (artículo 20).</w:t>
      </w:r>
    </w:p>
    <w:p w14:paraId="4820ADD5" w14:textId="77777777" w:rsidR="00C17082" w:rsidRPr="00C17082" w:rsidRDefault="00C17082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2F76B5">
        <w:rPr>
          <w:rFonts w:ascii="Bookman Old Style" w:hAnsi="Bookman Old Style"/>
          <w:b/>
          <w:bCs/>
          <w:sz w:val="24"/>
          <w:szCs w:val="24"/>
        </w:rPr>
        <w:t>5.</w:t>
      </w:r>
      <w:r w:rsidRPr="00C17082">
        <w:rPr>
          <w:rFonts w:ascii="Bookman Old Style" w:hAnsi="Bookman Old Style"/>
          <w:sz w:val="24"/>
          <w:szCs w:val="24"/>
        </w:rPr>
        <w:t xml:space="preserve"> Protección patrimonial y sucesión simplificada ante el fallecimiento del titular (Artículo 34): La norma vigente establece con rigor insensible que ante el fallecimiento del titular no existe transmisión de derechos y la licencia se extingue, obligando a los deudos a comenzar un trámite de apertura desde cero. Cuando una familia pierde a su sostén principal, el gobierno municipal debe ser solidario y brindar certidumbre económica. Se propone establecer el cambio de titularidad simplificado por causa de muerte, permitiendo a los beneficiarios o herederos legales conservar el negocio familiar y la vigencia del giro mediante la exhibición del acta de defunción y el documento legal que acredite sus derechos.</w:t>
      </w:r>
    </w:p>
    <w:p w14:paraId="28B9A93C" w14:textId="03AF2FA5" w:rsidR="00C17082" w:rsidRDefault="00C17082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2F76B5">
        <w:rPr>
          <w:rFonts w:ascii="Bookman Old Style" w:hAnsi="Bookman Old Style"/>
          <w:b/>
          <w:bCs/>
          <w:sz w:val="24"/>
          <w:szCs w:val="24"/>
        </w:rPr>
        <w:t>6.</w:t>
      </w:r>
      <w:r w:rsidRPr="00C17082">
        <w:rPr>
          <w:rFonts w:ascii="Bookman Old Style" w:hAnsi="Bookman Old Style"/>
          <w:sz w:val="24"/>
          <w:szCs w:val="24"/>
        </w:rPr>
        <w:t xml:space="preserve"> Validez jurídica a medios digitales y representación legal (Artículos 27 y 28): Exigir exclusivamente la comparecencia física del particular es anacrónico y margina a adultos mayores, personas con discapacidad temporal o permanente, y avecindados foráneos. La reforma dota de pleno sustento a la tramitología a través de apoderado legal debidamente acreditado y a los canales del Gobierno Electrónico municipal.</w:t>
      </w:r>
    </w:p>
    <w:p w14:paraId="72C37480" w14:textId="6D1A03DF" w:rsidR="00714969" w:rsidRDefault="00714969" w:rsidP="002F76B5">
      <w:pPr>
        <w:ind w:firstLine="1418"/>
        <w:jc w:val="both"/>
        <w:rPr>
          <w:rFonts w:ascii="Bookman Old Style" w:hAnsi="Bookman Old Style"/>
          <w:b/>
          <w:bCs/>
          <w:i/>
          <w:iCs/>
          <w:sz w:val="24"/>
          <w:szCs w:val="24"/>
        </w:rPr>
      </w:pPr>
      <w:r w:rsidRPr="00714969">
        <w:rPr>
          <w:rFonts w:ascii="Bookman Old Style" w:hAnsi="Bookman Old Style"/>
          <w:b/>
          <w:bCs/>
          <w:i/>
          <w:iCs/>
          <w:sz w:val="24"/>
          <w:szCs w:val="24"/>
        </w:rPr>
        <w:t xml:space="preserve">El día jueves 03 tres de septiembre del año 2026 dos mil veintiséis se convocó a la novena sesión Ordinaria de la Comisión Edilicia Permanente de Espectáculos Pulidos e Inspección y Vigilancia en la cual estuvieron presentes cada uno de los integrantes de esta, donde se expuso por parte del presidente, esta situación la cual se analizó, debatió y se aprobó en elevar </w:t>
      </w:r>
      <w:r>
        <w:rPr>
          <w:rFonts w:ascii="Bookman Old Style" w:hAnsi="Bookman Old Style"/>
          <w:b/>
          <w:bCs/>
          <w:i/>
          <w:iCs/>
          <w:sz w:val="24"/>
          <w:szCs w:val="24"/>
        </w:rPr>
        <w:t>como acuerdo económico de turno al pleno de ayuntamiento la siguientes observaciones al Reglamento sobre la venta y consumo de bebidas alcohólicas del Municipio de Zapotlán el Grande, Jalisco.</w:t>
      </w:r>
    </w:p>
    <w:p w14:paraId="1A137CAC" w14:textId="78A2934B" w:rsidR="00714969" w:rsidRDefault="00714969" w:rsidP="002F76B5">
      <w:pPr>
        <w:ind w:firstLine="1418"/>
        <w:jc w:val="both"/>
        <w:rPr>
          <w:rFonts w:ascii="Bookman Old Style" w:hAnsi="Bookman Old Style"/>
          <w:b/>
          <w:bCs/>
          <w:i/>
          <w:iCs/>
          <w:sz w:val="24"/>
          <w:szCs w:val="24"/>
        </w:rPr>
      </w:pPr>
    </w:p>
    <w:p w14:paraId="0FF9A906" w14:textId="77777777" w:rsidR="00714969" w:rsidRPr="00714969" w:rsidRDefault="00714969" w:rsidP="002F76B5">
      <w:pPr>
        <w:ind w:firstLine="1418"/>
        <w:jc w:val="both"/>
        <w:rPr>
          <w:rFonts w:ascii="Bookman Old Style" w:hAnsi="Bookman Old Style"/>
          <w:b/>
          <w:bCs/>
          <w:i/>
          <w:iCs/>
          <w:sz w:val="24"/>
          <w:szCs w:val="24"/>
        </w:rPr>
      </w:pPr>
    </w:p>
    <w:p w14:paraId="759E2900" w14:textId="17195638" w:rsidR="00C17082" w:rsidRPr="002F76B5" w:rsidRDefault="002F76B5" w:rsidP="002F76B5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2F76B5">
        <w:rPr>
          <w:rFonts w:ascii="Bookman Old Style" w:hAnsi="Bookman Old Style"/>
          <w:b/>
          <w:bCs/>
          <w:sz w:val="24"/>
          <w:szCs w:val="24"/>
        </w:rPr>
        <w:t>IV. CUADRO COMPARATIVO INTEGRAL DE DESREGULACIÓN NORMATIVA</w:t>
      </w:r>
    </w:p>
    <w:p w14:paraId="4F97ECC5" w14:textId="77D5F98F" w:rsidR="00C17082" w:rsidRDefault="00C17082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A efecto de ilustrar con absoluta claridad técnica el alcance y sentido de las adecuaciones planteadas, se presenta el siguiente cuadro de derecho comparado normativo:</w:t>
      </w:r>
    </w:p>
    <w:p w14:paraId="66D3CD7F" w14:textId="77777777" w:rsidR="00714969" w:rsidRPr="00C17082" w:rsidRDefault="00714969" w:rsidP="002F76B5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aconcuadrcula4-nfasis6"/>
        <w:tblW w:w="0" w:type="auto"/>
        <w:tblLayout w:type="fixed"/>
        <w:tblLook w:val="04A0" w:firstRow="1" w:lastRow="0" w:firstColumn="1" w:lastColumn="0" w:noHBand="0" w:noVBand="1"/>
      </w:tblPr>
      <w:tblGrid>
        <w:gridCol w:w="1584"/>
        <w:gridCol w:w="2592"/>
        <w:gridCol w:w="2592"/>
        <w:gridCol w:w="2592"/>
      </w:tblGrid>
      <w:tr w:rsidR="002F76B5" w:rsidRPr="00714969" w14:paraId="7C015422" w14:textId="77777777" w:rsidTr="005A7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14:paraId="62CA7032" w14:textId="77777777" w:rsidR="002F76B5" w:rsidRPr="00714969" w:rsidRDefault="002F76B5" w:rsidP="00B3322F">
            <w:pPr>
              <w:jc w:val="center"/>
              <w:rPr>
                <w:rFonts w:ascii="Bookman Old Style" w:hAnsi="Bookman Old Style"/>
                <w:color w:val="auto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color w:val="auto"/>
                <w:sz w:val="16"/>
                <w:szCs w:val="16"/>
              </w:rPr>
              <w:t>Artículo / Fracción</w:t>
            </w:r>
          </w:p>
        </w:tc>
        <w:tc>
          <w:tcPr>
            <w:tcW w:w="2592" w:type="dxa"/>
          </w:tcPr>
          <w:p w14:paraId="0B3F0B27" w14:textId="77777777" w:rsidR="002F76B5" w:rsidRPr="00714969" w:rsidRDefault="002F76B5" w:rsidP="00B332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auto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color w:val="auto"/>
                <w:sz w:val="16"/>
                <w:szCs w:val="16"/>
              </w:rPr>
              <w:t>Texto Vigente (Actual)</w:t>
            </w:r>
          </w:p>
        </w:tc>
        <w:tc>
          <w:tcPr>
            <w:tcW w:w="2592" w:type="dxa"/>
          </w:tcPr>
          <w:p w14:paraId="0C9B9A9B" w14:textId="77777777" w:rsidR="002F76B5" w:rsidRPr="00714969" w:rsidRDefault="002F76B5" w:rsidP="00B332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auto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color w:val="auto"/>
                <w:sz w:val="16"/>
                <w:szCs w:val="16"/>
              </w:rPr>
              <w:t>Propuesta de Modificación</w:t>
            </w:r>
          </w:p>
        </w:tc>
        <w:tc>
          <w:tcPr>
            <w:tcW w:w="2592" w:type="dxa"/>
          </w:tcPr>
          <w:p w14:paraId="4886F211" w14:textId="77777777" w:rsidR="002F76B5" w:rsidRPr="00714969" w:rsidRDefault="002F76B5" w:rsidP="00B332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color w:val="auto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color w:val="auto"/>
                <w:sz w:val="16"/>
                <w:szCs w:val="16"/>
              </w:rPr>
              <w:t>Argumento y Beneficio Técnico</w:t>
            </w:r>
          </w:p>
        </w:tc>
      </w:tr>
      <w:tr w:rsidR="002F76B5" w:rsidRPr="00714969" w14:paraId="1952A8C4" w14:textId="77777777" w:rsidTr="005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14:paraId="5A059403" w14:textId="77777777" w:rsidR="002F76B5" w:rsidRPr="00714969" w:rsidRDefault="002F76B5" w:rsidP="00B3322F">
            <w:pPr>
              <w:spacing w:line="252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Artículos 27 y 28</w:t>
            </w:r>
            <w:r w:rsidRPr="00714969">
              <w:rPr>
                <w:rFonts w:ascii="Bookman Old Style" w:hAnsi="Bookman Old Style"/>
                <w:sz w:val="16"/>
                <w:szCs w:val="16"/>
              </w:rPr>
              <w:br/>
              <w:t>(Párrafo inicial)</w:t>
            </w:r>
          </w:p>
        </w:tc>
        <w:tc>
          <w:tcPr>
            <w:tcW w:w="2592" w:type="dxa"/>
          </w:tcPr>
          <w:p w14:paraId="230C1414" w14:textId="77777777" w:rsidR="002F76B5" w:rsidRPr="00714969" w:rsidRDefault="002F76B5" w:rsidP="00B3322F">
            <w:pPr>
              <w:spacing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Para el trámite de las Licencias el solicitante deberá comparecer personalmente, con la documentación...</w:t>
            </w:r>
          </w:p>
        </w:tc>
        <w:tc>
          <w:tcPr>
            <w:tcW w:w="2592" w:type="dxa"/>
          </w:tcPr>
          <w:p w14:paraId="216B06B4" w14:textId="186F8641" w:rsidR="002F76B5" w:rsidRPr="00714969" w:rsidRDefault="002F76B5" w:rsidP="00B3322F">
            <w:pPr>
              <w:spacing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Para el trámite de las licencias, el solicitante podrá comparecer</w:t>
            </w:r>
            <w:r w:rsidR="0057628D" w:rsidRPr="00714969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Pr="00714969">
              <w:rPr>
                <w:rFonts w:ascii="Bookman Old Style" w:hAnsi="Bookman Old Style"/>
                <w:sz w:val="16"/>
                <w:szCs w:val="16"/>
              </w:rPr>
              <w:t>presencialmente, por medio de apoderado legal debidamente facultado, o a través de las plataformas digitales oficiales habilitadas por el Municipio.</w:t>
            </w:r>
          </w:p>
        </w:tc>
        <w:tc>
          <w:tcPr>
            <w:tcW w:w="2592" w:type="dxa"/>
          </w:tcPr>
          <w:p w14:paraId="21ECED27" w14:textId="77777777" w:rsidR="002F76B5" w:rsidRPr="00714969" w:rsidRDefault="002F76B5" w:rsidP="00B3322F">
            <w:pPr>
              <w:spacing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Otorga sustento legal al Gobierno Digital y facilita el acceso a adultos mayores, personas con problemas de movilidad o representantes legales acreditados.</w:t>
            </w:r>
          </w:p>
        </w:tc>
      </w:tr>
      <w:tr w:rsidR="002F76B5" w:rsidRPr="00714969" w14:paraId="5AE8CD7B" w14:textId="77777777" w:rsidTr="005A7D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14:paraId="13213881" w14:textId="77777777" w:rsidR="002F76B5" w:rsidRPr="00714969" w:rsidRDefault="002F76B5" w:rsidP="00B3322F">
            <w:pPr>
              <w:spacing w:line="252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Artículo 28</w:t>
            </w:r>
            <w:r w:rsidRPr="00714969">
              <w:rPr>
                <w:rFonts w:ascii="Bookman Old Style" w:hAnsi="Bookman Old Style"/>
                <w:sz w:val="16"/>
                <w:szCs w:val="16"/>
              </w:rPr>
              <w:br/>
              <w:t>(Fracciones IV y V)</w:t>
            </w:r>
          </w:p>
        </w:tc>
        <w:tc>
          <w:tcPr>
            <w:tcW w:w="2592" w:type="dxa"/>
          </w:tcPr>
          <w:p w14:paraId="7C816368" w14:textId="77777777" w:rsidR="002F76B5" w:rsidRPr="00714969" w:rsidRDefault="002F76B5" w:rsidP="00B3322F">
            <w:pPr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Las comisiones dictaminarán y elevarán al Pleno del Ayuntamiento las solicitudes para su aprobación.</w:t>
            </w:r>
            <w:r w:rsidRPr="00714969">
              <w:rPr>
                <w:rFonts w:ascii="Bookman Old Style" w:hAnsi="Bookman Old Style"/>
                <w:sz w:val="16"/>
                <w:szCs w:val="16"/>
              </w:rPr>
              <w:br/>
              <w:t>(Aplica para todos los giros).</w:t>
            </w:r>
          </w:p>
        </w:tc>
        <w:tc>
          <w:tcPr>
            <w:tcW w:w="2592" w:type="dxa"/>
          </w:tcPr>
          <w:p w14:paraId="0ACF95FB" w14:textId="77777777" w:rsidR="002F76B5" w:rsidRPr="00714969" w:rsidRDefault="002F76B5" w:rsidP="00B3322F">
            <w:pPr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Fracción IV: Las solicitudes de giros de bajo impacto (Arts. 21 y 22), cumpliendo requisitos, serán autorizadas administrativamente por Padrón y Licencias.</w:t>
            </w:r>
            <w:r w:rsidRPr="00714969">
              <w:rPr>
                <w:rFonts w:ascii="Bookman Old Style" w:hAnsi="Bookman Old Style"/>
                <w:sz w:val="16"/>
                <w:szCs w:val="16"/>
              </w:rPr>
              <w:br/>
              <w:t>Fracción V: Solo giros de alto impacto (Art. 20) requerirán dictamen y Pleno.</w:t>
            </w:r>
          </w:p>
        </w:tc>
        <w:tc>
          <w:tcPr>
            <w:tcW w:w="2592" w:type="dxa"/>
          </w:tcPr>
          <w:p w14:paraId="58B961C6" w14:textId="77777777" w:rsidR="002F76B5" w:rsidRPr="00714969" w:rsidRDefault="002F76B5" w:rsidP="00B3322F">
            <w:pPr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Descongestiona el trabajo legislativo del Cabildo; no resulta eficiente someter a comisiones y votación plenaria giros menores de bajo impacto barrial.</w:t>
            </w:r>
          </w:p>
        </w:tc>
      </w:tr>
      <w:tr w:rsidR="002F76B5" w:rsidRPr="00714969" w14:paraId="4DE65101" w14:textId="77777777" w:rsidTr="005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14:paraId="301FDEBF" w14:textId="77777777" w:rsidR="002F76B5" w:rsidRPr="00714969" w:rsidRDefault="002F76B5" w:rsidP="00B3322F">
            <w:pPr>
              <w:spacing w:line="252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Artículo 32</w:t>
            </w:r>
            <w:r w:rsidRPr="00714969">
              <w:rPr>
                <w:rFonts w:ascii="Bookman Old Style" w:hAnsi="Bookman Old Style"/>
                <w:sz w:val="16"/>
                <w:szCs w:val="16"/>
              </w:rPr>
              <w:br/>
              <w:t>(Fracción III)</w:t>
            </w:r>
          </w:p>
        </w:tc>
        <w:tc>
          <w:tcPr>
            <w:tcW w:w="2592" w:type="dxa"/>
          </w:tcPr>
          <w:p w14:paraId="51B110EA" w14:textId="77777777" w:rsidR="002F76B5" w:rsidRPr="00714969" w:rsidRDefault="002F76B5" w:rsidP="00B3322F">
            <w:pPr>
              <w:spacing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III. Renovar dictamen correspondiente de protección civil, con aforo para los giros especificados en los artículos 20 y 21 del presente reglamento.</w:t>
            </w:r>
          </w:p>
        </w:tc>
        <w:tc>
          <w:tcPr>
            <w:tcW w:w="2592" w:type="dxa"/>
          </w:tcPr>
          <w:p w14:paraId="10E2BE72" w14:textId="77777777" w:rsidR="002F76B5" w:rsidRPr="00714969" w:rsidRDefault="002F76B5" w:rsidP="00B3322F">
            <w:pPr>
              <w:spacing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III. SE DEROGA.</w:t>
            </w:r>
            <w:r w:rsidRPr="00714969">
              <w:rPr>
                <w:rFonts w:ascii="Bookman Old Style" w:hAnsi="Bookman Old Style"/>
                <w:sz w:val="16"/>
                <w:szCs w:val="16"/>
              </w:rPr>
              <w:br/>
              <w:t>(El dictamen técnico de Protección Civil será exigible de manera obligatoria exclusivamente para aperturas de establecimientos o remodelaciones estructurales).</w:t>
            </w:r>
          </w:p>
        </w:tc>
        <w:tc>
          <w:tcPr>
            <w:tcW w:w="2592" w:type="dxa"/>
          </w:tcPr>
          <w:p w14:paraId="65B0E24B" w14:textId="77777777" w:rsidR="002F76B5" w:rsidRPr="00714969" w:rsidRDefault="002F76B5" w:rsidP="00B3322F">
            <w:pPr>
              <w:spacing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Elimina el cuello de botella que retarda la recaudación fiscal anual y satura las brigadas operativas de Protección Civil en etapa de refrendo.</w:t>
            </w:r>
          </w:p>
        </w:tc>
      </w:tr>
      <w:tr w:rsidR="002F76B5" w:rsidRPr="00714969" w14:paraId="74A2F2E6" w14:textId="77777777" w:rsidTr="005A7D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14:paraId="17BE7393" w14:textId="77777777" w:rsidR="002F76B5" w:rsidRPr="00714969" w:rsidRDefault="002F76B5" w:rsidP="00B3322F">
            <w:pPr>
              <w:spacing w:line="252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Artículo 32</w:t>
            </w:r>
            <w:r w:rsidRPr="00714969">
              <w:rPr>
                <w:rFonts w:ascii="Bookman Old Style" w:hAnsi="Bookman Old Style"/>
                <w:sz w:val="16"/>
                <w:szCs w:val="16"/>
              </w:rPr>
              <w:br/>
              <w:t>(Fracción IV)</w:t>
            </w:r>
          </w:p>
        </w:tc>
        <w:tc>
          <w:tcPr>
            <w:tcW w:w="2592" w:type="dxa"/>
          </w:tcPr>
          <w:p w14:paraId="00648A93" w14:textId="77777777" w:rsidR="002F76B5" w:rsidRPr="00714969" w:rsidRDefault="002F76B5" w:rsidP="00B3322F">
            <w:pPr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IV. Dictamen vial positivo, expedido por la Dirección de Movilidad y Seguridad Vial, en el año que tramita el refrendo...</w:t>
            </w:r>
          </w:p>
        </w:tc>
        <w:tc>
          <w:tcPr>
            <w:tcW w:w="2592" w:type="dxa"/>
          </w:tcPr>
          <w:p w14:paraId="2C24D769" w14:textId="77777777" w:rsidR="002F76B5" w:rsidRPr="00714969" w:rsidRDefault="002F76B5" w:rsidP="00B3322F">
            <w:pPr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IV. SE DEROGA.</w:t>
            </w:r>
            <w:r w:rsidRPr="00714969">
              <w:rPr>
                <w:rFonts w:ascii="Bookman Old Style" w:hAnsi="Bookman Old Style"/>
                <w:sz w:val="16"/>
                <w:szCs w:val="16"/>
              </w:rPr>
              <w:br/>
              <w:t>(El dictamen de impacto vial solo será exigible para licencias de nueva apertura o ampliaciones estructurales, Arts. 27 y 39).</w:t>
            </w:r>
          </w:p>
        </w:tc>
        <w:tc>
          <w:tcPr>
            <w:tcW w:w="2592" w:type="dxa"/>
          </w:tcPr>
          <w:p w14:paraId="1C689EDB" w14:textId="77777777" w:rsidR="002F76B5" w:rsidRPr="00714969" w:rsidRDefault="002F76B5" w:rsidP="00B3322F">
            <w:pPr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El impacto vial no cambia de un año a otro en un comercio establecido; su exigencia anual en refrendo encarece y dilata el trámite sin fin preventivo.</w:t>
            </w:r>
          </w:p>
        </w:tc>
      </w:tr>
      <w:tr w:rsidR="002F76B5" w:rsidRPr="00714969" w14:paraId="3B2BA975" w14:textId="77777777" w:rsidTr="005A7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14:paraId="2A4D5C5D" w14:textId="77777777" w:rsidR="002F76B5" w:rsidRPr="00714969" w:rsidRDefault="002F76B5" w:rsidP="00B3322F">
            <w:pPr>
              <w:spacing w:line="252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Artículo 32</w:t>
            </w:r>
            <w:r w:rsidRPr="00714969">
              <w:rPr>
                <w:rFonts w:ascii="Bookman Old Style" w:hAnsi="Bookman Old Style"/>
                <w:sz w:val="16"/>
                <w:szCs w:val="16"/>
              </w:rPr>
              <w:br/>
              <w:t>(Fracción V)</w:t>
            </w:r>
          </w:p>
        </w:tc>
        <w:tc>
          <w:tcPr>
            <w:tcW w:w="2592" w:type="dxa"/>
          </w:tcPr>
          <w:p w14:paraId="74DD2A88" w14:textId="77777777" w:rsidR="002F76B5" w:rsidRPr="00714969" w:rsidRDefault="002F76B5" w:rsidP="00B3322F">
            <w:pPr>
              <w:spacing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V. Constancia de no adeudos expedido por la Hacienda Municipal.</w:t>
            </w:r>
          </w:p>
        </w:tc>
        <w:tc>
          <w:tcPr>
            <w:tcW w:w="2592" w:type="dxa"/>
          </w:tcPr>
          <w:p w14:paraId="63B59FEF" w14:textId="77777777" w:rsidR="002F76B5" w:rsidRPr="00714969" w:rsidRDefault="002F76B5" w:rsidP="00B3322F">
            <w:pPr>
              <w:spacing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V. Estar al corriente en sus obligaciones fiscales con el Municipio, lo cual será verificado internamente a través de los sistemas informáticos por la Oficialía de Padrón y Licencias.</w:t>
            </w:r>
          </w:p>
        </w:tc>
        <w:tc>
          <w:tcPr>
            <w:tcW w:w="2592" w:type="dxa"/>
          </w:tcPr>
          <w:p w14:paraId="49C58FD5" w14:textId="77777777" w:rsidR="002F76B5" w:rsidRPr="00714969" w:rsidRDefault="002F76B5" w:rsidP="00B3322F">
            <w:pPr>
              <w:spacing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Aplica el principio de interoperabilidad; evita que el particular funja como mensajero de documentos que obran en archivos del mismo Ayuntamiento.</w:t>
            </w:r>
          </w:p>
        </w:tc>
      </w:tr>
      <w:tr w:rsidR="002F76B5" w:rsidRPr="00714969" w14:paraId="777D2447" w14:textId="77777777" w:rsidTr="005A7D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</w:tcPr>
          <w:p w14:paraId="1510C77F" w14:textId="77777777" w:rsidR="002F76B5" w:rsidRPr="00714969" w:rsidRDefault="002F76B5" w:rsidP="00B3322F">
            <w:pPr>
              <w:spacing w:line="252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Artículo 34</w:t>
            </w:r>
          </w:p>
        </w:tc>
        <w:tc>
          <w:tcPr>
            <w:tcW w:w="2592" w:type="dxa"/>
          </w:tcPr>
          <w:p w14:paraId="3FC20C62" w14:textId="77777777" w:rsidR="002F76B5" w:rsidRPr="00714969" w:rsidRDefault="002F76B5" w:rsidP="00B3322F">
            <w:pPr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En caso de muerte del titular, no hay sucesión de derechos, la licencia se cancela... Los beneficiarios... deberán volver a tramitar su licencia nuevamente.</w:t>
            </w:r>
          </w:p>
        </w:tc>
        <w:tc>
          <w:tcPr>
            <w:tcW w:w="2592" w:type="dxa"/>
          </w:tcPr>
          <w:p w14:paraId="1261DCC1" w14:textId="77777777" w:rsidR="002F76B5" w:rsidRPr="00714969" w:rsidRDefault="002F76B5" w:rsidP="00B3322F">
            <w:pPr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>En caso de fallecimiento del titular, los beneficiarios legales podrán realizar el trámite simplificado de cambio de titularidad, exhibiendo acta de defunción y acreditación legal, manteniendo el giro.</w:t>
            </w:r>
          </w:p>
        </w:tc>
        <w:tc>
          <w:tcPr>
            <w:tcW w:w="2592" w:type="dxa"/>
          </w:tcPr>
          <w:p w14:paraId="4F5E80B9" w14:textId="77777777" w:rsidR="002F76B5" w:rsidRPr="00714969" w:rsidRDefault="002F76B5" w:rsidP="00B3322F">
            <w:pPr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  <w:r w:rsidRPr="00714969">
              <w:rPr>
                <w:rFonts w:ascii="Bookman Old Style" w:hAnsi="Bookman Old Style"/>
                <w:sz w:val="16"/>
                <w:szCs w:val="16"/>
              </w:rPr>
              <w:t xml:space="preserve">Protege el patrimonio y sustento de las familias </w:t>
            </w:r>
            <w:proofErr w:type="spellStart"/>
            <w:r w:rsidRPr="00714969">
              <w:rPr>
                <w:rFonts w:ascii="Bookman Old Style" w:hAnsi="Bookman Old Style"/>
                <w:sz w:val="16"/>
                <w:szCs w:val="16"/>
              </w:rPr>
              <w:t>zapotlenses</w:t>
            </w:r>
            <w:proofErr w:type="spellEnd"/>
            <w:r w:rsidRPr="00714969">
              <w:rPr>
                <w:rFonts w:ascii="Bookman Old Style" w:hAnsi="Bookman Old Style"/>
                <w:sz w:val="16"/>
                <w:szCs w:val="16"/>
              </w:rPr>
              <w:t xml:space="preserve"> ante emergencias o decesos, reconociendo la inversión y el derecho adquirido en el negocio familiar.</w:t>
            </w:r>
          </w:p>
        </w:tc>
      </w:tr>
    </w:tbl>
    <w:p w14:paraId="37F5910D" w14:textId="77777777" w:rsidR="002F76B5" w:rsidRPr="00714969" w:rsidRDefault="002F76B5" w:rsidP="00C17082">
      <w:pPr>
        <w:jc w:val="both"/>
        <w:rPr>
          <w:rFonts w:ascii="Bookman Old Style" w:hAnsi="Bookman Old Style"/>
          <w:sz w:val="16"/>
          <w:szCs w:val="16"/>
        </w:rPr>
      </w:pPr>
    </w:p>
    <w:p w14:paraId="4CE826B9" w14:textId="498963DA" w:rsidR="00C17082" w:rsidRPr="00C17082" w:rsidRDefault="00C17082" w:rsidP="00C17082">
      <w:pPr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ab/>
      </w:r>
    </w:p>
    <w:p w14:paraId="4086E6D6" w14:textId="77777777" w:rsidR="00714969" w:rsidRDefault="00714969" w:rsidP="00C17082">
      <w:pPr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0122647F" w14:textId="638157C5" w:rsidR="00C17082" w:rsidRDefault="00C17082" w:rsidP="00C17082">
      <w:pPr>
        <w:jc w:val="both"/>
        <w:rPr>
          <w:rFonts w:ascii="Bookman Old Style" w:hAnsi="Bookman Old Style"/>
          <w:b/>
          <w:bCs/>
          <w:sz w:val="24"/>
          <w:szCs w:val="24"/>
        </w:rPr>
      </w:pPr>
      <w:r w:rsidRPr="0057628D">
        <w:rPr>
          <w:rFonts w:ascii="Bookman Old Style" w:hAnsi="Bookman Old Style"/>
          <w:b/>
          <w:bCs/>
          <w:sz w:val="24"/>
          <w:szCs w:val="24"/>
        </w:rPr>
        <w:t>V. Impacto Técnico, Presupuestal y en Tiempos de Respuesta</w:t>
      </w:r>
    </w:p>
    <w:p w14:paraId="7410FA7A" w14:textId="77777777" w:rsidR="00714969" w:rsidRPr="0057628D" w:rsidRDefault="00714969" w:rsidP="00C17082">
      <w:pPr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1F761516" w14:textId="77777777" w:rsidR="00C17082" w:rsidRPr="00C17082" w:rsidRDefault="00C17082" w:rsidP="005E140E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La implementación de esta reforma dotará al Municipio de Zapotlán el Grande de beneficios concretos y medibles:</w:t>
      </w:r>
    </w:p>
    <w:p w14:paraId="52600037" w14:textId="7F1AF14D" w:rsidR="00334BD6" w:rsidRPr="00C17082" w:rsidRDefault="00C17082" w:rsidP="005E140E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• Disminución de tiempos de espera de hasta un 60%: Al eliminar tres requisitos documentales en el trámite de refrendo anual, la resolución de licencias será casi inmediata, estimulando la formalidad económica local.</w:t>
      </w:r>
    </w:p>
    <w:p w14:paraId="5C44F5A9" w14:textId="77777777" w:rsidR="00C17082" w:rsidRPr="00C17082" w:rsidRDefault="00C17082" w:rsidP="005E140E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• Despresurización operativa de tres áreas clave: Se erradica la saturación burocrática en la Dirección de Protección Civil y Bomberos, la Dirección de Movilidad y Seguridad Vial y la Dirección de Hacienda Municipal, permitiendo que su personal concentre esfuerzos en tareas sustantivas de inspección en campo, prevención y atención ciudadana.</w:t>
      </w:r>
    </w:p>
    <w:p w14:paraId="5C914C9E" w14:textId="47A80AE3" w:rsidR="00C17082" w:rsidRDefault="00C17082" w:rsidP="005E140E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• Eficiencia hacendaria: Al facilitarse los trámites y eliminarse cuellos de botella, se agiliza la recaudación de los derechos municipales durante el primer trimestre del ejercicio fiscal.</w:t>
      </w:r>
    </w:p>
    <w:p w14:paraId="14B6804F" w14:textId="77777777" w:rsidR="00714969" w:rsidRPr="00C17082" w:rsidRDefault="00714969" w:rsidP="005E140E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4D352110" w14:textId="160AE01E" w:rsidR="00C17082" w:rsidRDefault="00C17082" w:rsidP="005E140E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7628D">
        <w:rPr>
          <w:rFonts w:ascii="Bookman Old Style" w:hAnsi="Bookman Old Style"/>
          <w:b/>
          <w:bCs/>
          <w:sz w:val="24"/>
          <w:szCs w:val="24"/>
        </w:rPr>
        <w:t>PROYECTO DE ORDENAMIENTO MUNICIPAL</w:t>
      </w:r>
      <w:r w:rsidR="00714969">
        <w:rPr>
          <w:rFonts w:ascii="Bookman Old Style" w:hAnsi="Bookman Old Style"/>
          <w:b/>
          <w:bCs/>
          <w:sz w:val="24"/>
          <w:szCs w:val="24"/>
        </w:rPr>
        <w:t>.</w:t>
      </w:r>
    </w:p>
    <w:p w14:paraId="3A44AD20" w14:textId="77777777" w:rsidR="00714969" w:rsidRPr="0057628D" w:rsidRDefault="00714969" w:rsidP="005E140E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2D1A41F1" w14:textId="4A661953" w:rsidR="00C17082" w:rsidRDefault="00C17082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B343E">
        <w:rPr>
          <w:rFonts w:ascii="Bookman Old Style" w:hAnsi="Bookman Old Style"/>
          <w:b/>
          <w:bCs/>
          <w:sz w:val="24"/>
          <w:szCs w:val="24"/>
        </w:rPr>
        <w:t xml:space="preserve">ARTÍCULO </w:t>
      </w:r>
      <w:proofErr w:type="gramStart"/>
      <w:r w:rsidRPr="00AB343E">
        <w:rPr>
          <w:rFonts w:ascii="Bookman Old Style" w:hAnsi="Bookman Old Style"/>
          <w:b/>
          <w:bCs/>
          <w:sz w:val="24"/>
          <w:szCs w:val="24"/>
        </w:rPr>
        <w:t>ÚNICO.-</w:t>
      </w:r>
      <w:proofErr w:type="gramEnd"/>
      <w:r w:rsidRPr="00C17082">
        <w:rPr>
          <w:rFonts w:ascii="Bookman Old Style" w:hAnsi="Bookman Old Style"/>
          <w:sz w:val="24"/>
          <w:szCs w:val="24"/>
        </w:rPr>
        <w:t xml:space="preserve"> Se </w:t>
      </w:r>
      <w:r w:rsidRPr="00AB343E">
        <w:rPr>
          <w:rFonts w:ascii="Bookman Old Style" w:hAnsi="Bookman Old Style"/>
          <w:b/>
          <w:bCs/>
          <w:sz w:val="24"/>
          <w:szCs w:val="24"/>
          <w:u w:val="single"/>
        </w:rPr>
        <w:t xml:space="preserve">REFORMAN </w:t>
      </w:r>
      <w:r w:rsidRPr="00C17082">
        <w:rPr>
          <w:rFonts w:ascii="Bookman Old Style" w:hAnsi="Bookman Old Style"/>
          <w:sz w:val="24"/>
          <w:szCs w:val="24"/>
        </w:rPr>
        <w:t xml:space="preserve">los artículos 27, 28 en sus fracciones IV y V, 32 en su fracción V, y 34; así mismo se </w:t>
      </w:r>
      <w:r w:rsidRPr="00AB343E">
        <w:rPr>
          <w:rFonts w:ascii="Bookman Old Style" w:hAnsi="Bookman Old Style"/>
          <w:b/>
          <w:bCs/>
          <w:sz w:val="24"/>
          <w:szCs w:val="24"/>
          <w:u w:val="single"/>
        </w:rPr>
        <w:t>DEROGAN</w:t>
      </w:r>
      <w:r w:rsidRPr="00C17082">
        <w:rPr>
          <w:rFonts w:ascii="Bookman Old Style" w:hAnsi="Bookman Old Style"/>
          <w:sz w:val="24"/>
          <w:szCs w:val="24"/>
        </w:rPr>
        <w:t xml:space="preserve"> las fracciones III y IV del artículo 32, todos del Reglamento sobre la Venta y Consumo de Bebidas Alcohólicas del Municipio de Zapotlán el Grande, Jalisco, para quedar redactados en los siguientes términos:</w:t>
      </w:r>
    </w:p>
    <w:p w14:paraId="49E65A7F" w14:textId="77777777" w:rsidR="00714969" w:rsidRPr="00C17082" w:rsidRDefault="00714969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63607DE9" w14:textId="77777777" w:rsidR="00C17082" w:rsidRPr="00C17082" w:rsidRDefault="00C17082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B343E">
        <w:rPr>
          <w:rFonts w:ascii="Bookman Old Style" w:hAnsi="Bookman Old Style"/>
          <w:b/>
          <w:bCs/>
          <w:sz w:val="24"/>
          <w:szCs w:val="24"/>
        </w:rPr>
        <w:t>Artículo 27.-</w:t>
      </w:r>
      <w:r w:rsidRPr="00C17082">
        <w:rPr>
          <w:rFonts w:ascii="Bookman Old Style" w:hAnsi="Bookman Old Style"/>
          <w:sz w:val="24"/>
          <w:szCs w:val="24"/>
        </w:rPr>
        <w:t xml:space="preserve"> Para el trámite y gestión de las licencias municipales, el interesado podrá comparecer personalmente, a través de apoderado o mandatario legal con facultades suficientes conforme a derecho, o mediante los mecanismos y plataformas digitales que al efecto determine e implemente el Municipio.</w:t>
      </w:r>
    </w:p>
    <w:p w14:paraId="07CB38CD" w14:textId="77777777" w:rsidR="00C17082" w:rsidRPr="00AB343E" w:rsidRDefault="00C17082" w:rsidP="00AB343E">
      <w:pPr>
        <w:ind w:firstLine="1418"/>
        <w:jc w:val="both"/>
        <w:rPr>
          <w:rFonts w:ascii="Bookman Old Style" w:hAnsi="Bookman Old Style"/>
          <w:b/>
          <w:bCs/>
          <w:sz w:val="24"/>
          <w:szCs w:val="24"/>
        </w:rPr>
      </w:pPr>
      <w:r w:rsidRPr="00AB343E">
        <w:rPr>
          <w:rFonts w:ascii="Bookman Old Style" w:hAnsi="Bookman Old Style"/>
          <w:b/>
          <w:bCs/>
          <w:sz w:val="24"/>
          <w:szCs w:val="24"/>
        </w:rPr>
        <w:t>Artículo 28.- [...]</w:t>
      </w:r>
    </w:p>
    <w:p w14:paraId="1A4ECC31" w14:textId="2F5ABA65" w:rsidR="00C17082" w:rsidRPr="00714969" w:rsidRDefault="00C17082" w:rsidP="00714969">
      <w:pPr>
        <w:pStyle w:val="Prrafodelista"/>
        <w:numPr>
          <w:ilvl w:val="0"/>
          <w:numId w:val="1"/>
        </w:numPr>
        <w:jc w:val="both"/>
        <w:rPr>
          <w:rFonts w:ascii="Bookman Old Style" w:hAnsi="Bookman Old Style"/>
          <w:b/>
          <w:bCs/>
          <w:sz w:val="24"/>
          <w:szCs w:val="24"/>
        </w:rPr>
      </w:pPr>
      <w:r w:rsidRPr="00714969">
        <w:rPr>
          <w:rFonts w:ascii="Bookman Old Style" w:hAnsi="Bookman Old Style"/>
          <w:b/>
          <w:bCs/>
          <w:sz w:val="24"/>
          <w:szCs w:val="24"/>
        </w:rPr>
        <w:t>a III. [...]</w:t>
      </w:r>
    </w:p>
    <w:p w14:paraId="6CD7D6DC" w14:textId="29A4B388" w:rsidR="00714969" w:rsidRDefault="00714969" w:rsidP="00714969">
      <w:pPr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2E883642" w14:textId="77777777" w:rsidR="00714969" w:rsidRPr="00714969" w:rsidRDefault="00714969" w:rsidP="00714969">
      <w:pPr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5BFC44B9" w14:textId="77B27060" w:rsidR="00C17082" w:rsidRDefault="00C17082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B343E">
        <w:rPr>
          <w:rFonts w:ascii="Bookman Old Style" w:hAnsi="Bookman Old Style"/>
          <w:b/>
          <w:bCs/>
          <w:sz w:val="24"/>
          <w:szCs w:val="24"/>
        </w:rPr>
        <w:t>IV.</w:t>
      </w:r>
      <w:r w:rsidRPr="00C17082">
        <w:rPr>
          <w:rFonts w:ascii="Bookman Old Style" w:hAnsi="Bookman Old Style"/>
          <w:sz w:val="24"/>
          <w:szCs w:val="24"/>
        </w:rPr>
        <w:t xml:space="preserve"> Las solicitudes correspondientes a giros de bajo impacto, contemplados expresamente en los artículos 21 y 22 del presente ordenamiento, una vez verificado el cumplimiento cabal de los requisitos legales, serán autorizadas y expedidas administrativamente por la Oficialía de Padrón y Licencias.</w:t>
      </w:r>
    </w:p>
    <w:p w14:paraId="138E0538" w14:textId="77777777" w:rsidR="00714969" w:rsidRPr="00C17082" w:rsidRDefault="00714969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77E54DA3" w14:textId="77777777" w:rsidR="00C17082" w:rsidRPr="00C17082" w:rsidRDefault="00C17082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B343E">
        <w:rPr>
          <w:rFonts w:ascii="Bookman Old Style" w:hAnsi="Bookman Old Style"/>
          <w:b/>
          <w:bCs/>
          <w:sz w:val="24"/>
          <w:szCs w:val="24"/>
        </w:rPr>
        <w:t>V.</w:t>
      </w:r>
      <w:r w:rsidRPr="00C17082">
        <w:rPr>
          <w:rFonts w:ascii="Bookman Old Style" w:hAnsi="Bookman Old Style"/>
          <w:sz w:val="24"/>
          <w:szCs w:val="24"/>
        </w:rPr>
        <w:t xml:space="preserve"> Tratándose de los giros de alto impacto comprendidos en el artículo 20 de este Reglamento, se requerirá de la integración de expediente, dictaminación por parte de la comisión edilicia competente y elevación ante el Pleno del Ayuntamiento para su análisis y eventual aprobación.</w:t>
      </w:r>
    </w:p>
    <w:p w14:paraId="32E05DA7" w14:textId="3A965140" w:rsidR="00C17082" w:rsidRDefault="00C17082" w:rsidP="00AB343E">
      <w:pPr>
        <w:ind w:firstLine="1418"/>
        <w:jc w:val="both"/>
        <w:rPr>
          <w:rFonts w:ascii="Bookman Old Style" w:hAnsi="Bookman Old Style"/>
          <w:b/>
          <w:bCs/>
          <w:sz w:val="24"/>
          <w:szCs w:val="24"/>
        </w:rPr>
      </w:pPr>
      <w:r w:rsidRPr="00AB343E">
        <w:rPr>
          <w:rFonts w:ascii="Bookman Old Style" w:hAnsi="Bookman Old Style"/>
          <w:b/>
          <w:bCs/>
          <w:sz w:val="24"/>
          <w:szCs w:val="24"/>
        </w:rPr>
        <w:t>VI. [...]</w:t>
      </w:r>
    </w:p>
    <w:p w14:paraId="33B7E4D5" w14:textId="77777777" w:rsidR="00714969" w:rsidRPr="00AB343E" w:rsidRDefault="00714969" w:rsidP="00AB343E">
      <w:pPr>
        <w:ind w:firstLine="1418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647597D2" w14:textId="77777777" w:rsidR="00C17082" w:rsidRPr="00C17082" w:rsidRDefault="00C17082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B343E">
        <w:rPr>
          <w:rFonts w:ascii="Bookman Old Style" w:hAnsi="Bookman Old Style"/>
          <w:b/>
          <w:bCs/>
          <w:sz w:val="24"/>
          <w:szCs w:val="24"/>
        </w:rPr>
        <w:t>Artículo 32.-</w:t>
      </w:r>
      <w:r w:rsidRPr="00C17082">
        <w:rPr>
          <w:rFonts w:ascii="Bookman Old Style" w:hAnsi="Bookman Old Style"/>
          <w:sz w:val="24"/>
          <w:szCs w:val="24"/>
        </w:rPr>
        <w:t xml:space="preserve"> Para obtener el refrendo anual de la Licencia Municipal, se deberán cubrir los siguientes requisitos:</w:t>
      </w:r>
    </w:p>
    <w:p w14:paraId="11BDE63D" w14:textId="4A6AF003" w:rsidR="00AB343E" w:rsidRDefault="00C17082" w:rsidP="00714969">
      <w:pPr>
        <w:ind w:firstLine="1418"/>
        <w:jc w:val="both"/>
        <w:rPr>
          <w:rFonts w:ascii="Bookman Old Style" w:hAnsi="Bookman Old Style"/>
          <w:b/>
          <w:bCs/>
          <w:sz w:val="24"/>
          <w:szCs w:val="24"/>
        </w:rPr>
      </w:pPr>
      <w:r w:rsidRPr="00AB343E">
        <w:rPr>
          <w:rFonts w:ascii="Bookman Old Style" w:hAnsi="Bookman Old Style"/>
          <w:b/>
          <w:bCs/>
          <w:sz w:val="24"/>
          <w:szCs w:val="24"/>
        </w:rPr>
        <w:t>I. y II. [...]</w:t>
      </w:r>
    </w:p>
    <w:p w14:paraId="6D6FFFBF" w14:textId="0A3AEDB5" w:rsidR="00C17082" w:rsidRPr="00AB343E" w:rsidRDefault="00C17082" w:rsidP="00AB343E">
      <w:pPr>
        <w:ind w:firstLine="1418"/>
        <w:jc w:val="both"/>
        <w:rPr>
          <w:rFonts w:ascii="Bookman Old Style" w:hAnsi="Bookman Old Style"/>
          <w:b/>
          <w:bCs/>
          <w:sz w:val="24"/>
          <w:szCs w:val="24"/>
        </w:rPr>
      </w:pPr>
      <w:r w:rsidRPr="00AB343E">
        <w:rPr>
          <w:rFonts w:ascii="Bookman Old Style" w:hAnsi="Bookman Old Style"/>
          <w:b/>
          <w:bCs/>
          <w:sz w:val="24"/>
          <w:szCs w:val="24"/>
        </w:rPr>
        <w:t>III. SE DEROGA.</w:t>
      </w:r>
    </w:p>
    <w:p w14:paraId="7CB32B48" w14:textId="77777777" w:rsidR="00C17082" w:rsidRPr="00AB343E" w:rsidRDefault="00C17082" w:rsidP="00AB343E">
      <w:pPr>
        <w:ind w:firstLine="1418"/>
        <w:jc w:val="both"/>
        <w:rPr>
          <w:rFonts w:ascii="Bookman Old Style" w:hAnsi="Bookman Old Style"/>
          <w:b/>
          <w:bCs/>
          <w:sz w:val="24"/>
          <w:szCs w:val="24"/>
        </w:rPr>
      </w:pPr>
      <w:r w:rsidRPr="00AB343E">
        <w:rPr>
          <w:rFonts w:ascii="Bookman Old Style" w:hAnsi="Bookman Old Style"/>
          <w:b/>
          <w:bCs/>
          <w:sz w:val="24"/>
          <w:szCs w:val="24"/>
        </w:rPr>
        <w:t>IV. SE DEROGA.</w:t>
      </w:r>
    </w:p>
    <w:p w14:paraId="009074C0" w14:textId="30D29E64" w:rsidR="00C17082" w:rsidRDefault="00C17082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V. Estar al corriente en el cumplimiento de sus obligaciones fiscales municipales, extremo que será consultado y verificado internamente por la Oficialía de Padrón y Licencias a través de las bases de datos y sistemas informáticos del Municipio, sin necesidad de exigir constancia documental física expedida por la Hacienda Municipal.</w:t>
      </w:r>
    </w:p>
    <w:p w14:paraId="1B132218" w14:textId="77777777" w:rsidR="00714969" w:rsidRPr="00C17082" w:rsidRDefault="00714969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40DBAC83" w14:textId="480FBC4C" w:rsidR="00C17082" w:rsidRDefault="00C17082" w:rsidP="00AB343E">
      <w:pPr>
        <w:ind w:firstLine="1418"/>
        <w:jc w:val="both"/>
        <w:rPr>
          <w:rFonts w:ascii="Bookman Old Style" w:hAnsi="Bookman Old Style"/>
          <w:b/>
          <w:bCs/>
          <w:sz w:val="24"/>
          <w:szCs w:val="24"/>
        </w:rPr>
      </w:pPr>
      <w:r w:rsidRPr="00AB343E">
        <w:rPr>
          <w:rFonts w:ascii="Bookman Old Style" w:hAnsi="Bookman Old Style"/>
          <w:b/>
          <w:bCs/>
          <w:sz w:val="24"/>
          <w:szCs w:val="24"/>
        </w:rPr>
        <w:t>VI. y VII. [...]</w:t>
      </w:r>
    </w:p>
    <w:p w14:paraId="1EB797B0" w14:textId="77777777" w:rsidR="00714969" w:rsidRPr="00AB343E" w:rsidRDefault="00714969" w:rsidP="00AB343E">
      <w:pPr>
        <w:ind w:firstLine="1418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4675F15C" w14:textId="0442F9E2" w:rsidR="00C17082" w:rsidRDefault="00C17082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AB343E">
        <w:rPr>
          <w:rFonts w:ascii="Bookman Old Style" w:hAnsi="Bookman Old Style"/>
          <w:b/>
          <w:bCs/>
          <w:sz w:val="24"/>
          <w:szCs w:val="24"/>
        </w:rPr>
        <w:t>Artículo 34.-</w:t>
      </w:r>
      <w:r w:rsidRPr="00C17082">
        <w:rPr>
          <w:rFonts w:ascii="Bookman Old Style" w:hAnsi="Bookman Old Style"/>
          <w:sz w:val="24"/>
          <w:szCs w:val="24"/>
        </w:rPr>
        <w:t xml:space="preserve"> En caso de fallecimiento de la persona titular de la licencia municipal, los beneficiarios legales o causahabientes podrán tramitar el cambio de titularidad de manera simplificada ante la Oficialía de Padrón y Licencias, exhibiendo al efecto copia certificada del acta de defunción y el documento legal que acredite sus derechos, conservando la vigencia, antigüedad y condiciones del giro originalmente autorizado.</w:t>
      </w:r>
    </w:p>
    <w:p w14:paraId="1878F665" w14:textId="7391495E" w:rsidR="00714969" w:rsidRDefault="00714969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27B8A2B2" w14:textId="77777777" w:rsidR="00714969" w:rsidRDefault="00714969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5ABE1942" w14:textId="77777777" w:rsidR="00714969" w:rsidRPr="00C17082" w:rsidRDefault="00714969" w:rsidP="00AB343E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35B93E93" w14:textId="49DBEB2B" w:rsidR="00C17082" w:rsidRDefault="00C17082" w:rsidP="0057628D">
      <w:pPr>
        <w:jc w:val="center"/>
        <w:rPr>
          <w:rFonts w:ascii="Bookman Old Style" w:hAnsi="Bookman Old Style"/>
          <w:b/>
          <w:bCs/>
          <w:sz w:val="24"/>
          <w:szCs w:val="24"/>
          <w:u w:val="single"/>
        </w:rPr>
      </w:pPr>
      <w:proofErr w:type="gramStart"/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T </w:t>
      </w:r>
      <w:r w:rsid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>R</w:t>
      </w:r>
      <w:proofErr w:type="gramEnd"/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A </w:t>
      </w:r>
      <w:r w:rsid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N </w:t>
      </w:r>
      <w:r w:rsid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S </w:t>
      </w:r>
      <w:r w:rsid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I </w:t>
      </w:r>
      <w:r w:rsid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T </w:t>
      </w:r>
      <w:r w:rsid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>O</w:t>
      </w:r>
      <w:r w:rsid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R</w:t>
      </w:r>
      <w:r w:rsid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I</w:t>
      </w:r>
      <w:r w:rsid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O</w:t>
      </w:r>
      <w:r w:rsid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Pr="0057628D">
        <w:rPr>
          <w:rFonts w:ascii="Bookman Old Style" w:hAnsi="Bookman Old Style"/>
          <w:b/>
          <w:bCs/>
          <w:sz w:val="24"/>
          <w:szCs w:val="24"/>
          <w:u w:val="single"/>
        </w:rPr>
        <w:t xml:space="preserve"> S</w:t>
      </w:r>
      <w:r w:rsidR="0057628D">
        <w:rPr>
          <w:rFonts w:ascii="Bookman Old Style" w:hAnsi="Bookman Old Style"/>
          <w:b/>
          <w:bCs/>
          <w:sz w:val="24"/>
          <w:szCs w:val="24"/>
          <w:u w:val="single"/>
        </w:rPr>
        <w:t>.</w:t>
      </w:r>
    </w:p>
    <w:p w14:paraId="14D9A392" w14:textId="77777777" w:rsidR="00714969" w:rsidRPr="0057628D" w:rsidRDefault="00714969" w:rsidP="0057628D">
      <w:pPr>
        <w:jc w:val="center"/>
        <w:rPr>
          <w:rFonts w:ascii="Bookman Old Style" w:hAnsi="Bookman Old Style"/>
          <w:b/>
          <w:bCs/>
          <w:sz w:val="24"/>
          <w:szCs w:val="24"/>
          <w:u w:val="single"/>
        </w:rPr>
      </w:pPr>
    </w:p>
    <w:p w14:paraId="1EA25350" w14:textId="7C64CE6F" w:rsidR="00C17082" w:rsidRDefault="00C17082" w:rsidP="0057628D">
      <w:pPr>
        <w:ind w:firstLine="1418"/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57628D">
        <w:rPr>
          <w:rFonts w:ascii="Bookman Old Style" w:hAnsi="Bookman Old Style"/>
          <w:b/>
          <w:bCs/>
          <w:sz w:val="24"/>
          <w:szCs w:val="24"/>
        </w:rPr>
        <w:t>PRIMERO.-</w:t>
      </w:r>
      <w:proofErr w:type="gramEnd"/>
      <w:r w:rsidRPr="00C17082">
        <w:rPr>
          <w:rFonts w:ascii="Bookman Old Style" w:hAnsi="Bookman Old Style"/>
          <w:sz w:val="24"/>
          <w:szCs w:val="24"/>
        </w:rPr>
        <w:t xml:space="preserve"> El presente Decreto entrará en vigor al día siguiente de su publicación en la Gaceta Municipal de Zapotlán el Grande, Jalisco.</w:t>
      </w:r>
    </w:p>
    <w:p w14:paraId="42507395" w14:textId="77777777" w:rsidR="00714969" w:rsidRPr="00C17082" w:rsidRDefault="00714969" w:rsidP="0057628D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71936CF4" w14:textId="77777777" w:rsidR="00714969" w:rsidRDefault="00C17082" w:rsidP="0057628D">
      <w:pPr>
        <w:ind w:firstLine="1418"/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57628D">
        <w:rPr>
          <w:rFonts w:ascii="Bookman Old Style" w:hAnsi="Bookman Old Style"/>
          <w:b/>
          <w:bCs/>
          <w:sz w:val="24"/>
          <w:szCs w:val="24"/>
        </w:rPr>
        <w:t>SEGUNDO.-</w:t>
      </w:r>
      <w:proofErr w:type="gramEnd"/>
      <w:r w:rsidRPr="00C17082">
        <w:rPr>
          <w:rFonts w:ascii="Bookman Old Style" w:hAnsi="Bookman Old Style"/>
          <w:sz w:val="24"/>
          <w:szCs w:val="24"/>
        </w:rPr>
        <w:t xml:space="preserve"> Se instruye a la Oficialía de Padrón y Licencias, a la Dirección de Hacienda Municipal y a la Jefatura de Tecnologías de la Información, para que en un plazo que no exceda de 60 sesenta días naturales contados a partir de la publicación de este Decreto, concluyan las adecuaciones técnicas conducentes a fin de garantizar la consulta y </w:t>
      </w:r>
    </w:p>
    <w:p w14:paraId="3512A02F" w14:textId="77777777" w:rsidR="00714969" w:rsidRDefault="00714969" w:rsidP="00714969">
      <w:pPr>
        <w:jc w:val="both"/>
        <w:rPr>
          <w:rFonts w:ascii="Bookman Old Style" w:hAnsi="Bookman Old Style"/>
          <w:sz w:val="24"/>
          <w:szCs w:val="24"/>
        </w:rPr>
      </w:pPr>
    </w:p>
    <w:p w14:paraId="5462E998" w14:textId="2697F4A8" w:rsidR="00C17082" w:rsidRDefault="00C17082" w:rsidP="00714969">
      <w:pPr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verificación automática e interconectada de los adeudos fiscales municipales.</w:t>
      </w:r>
    </w:p>
    <w:p w14:paraId="2E9192BF" w14:textId="77777777" w:rsidR="00714969" w:rsidRPr="00C17082" w:rsidRDefault="00714969" w:rsidP="00714969">
      <w:pPr>
        <w:jc w:val="both"/>
        <w:rPr>
          <w:rFonts w:ascii="Bookman Old Style" w:hAnsi="Bookman Old Style"/>
          <w:sz w:val="24"/>
          <w:szCs w:val="24"/>
        </w:rPr>
      </w:pPr>
    </w:p>
    <w:p w14:paraId="71A85BA2" w14:textId="650EC80F" w:rsidR="00C17082" w:rsidRDefault="00C17082" w:rsidP="0057628D">
      <w:pPr>
        <w:ind w:firstLine="1418"/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57628D">
        <w:rPr>
          <w:rFonts w:ascii="Bookman Old Style" w:hAnsi="Bookman Old Style"/>
          <w:b/>
          <w:bCs/>
          <w:sz w:val="24"/>
          <w:szCs w:val="24"/>
        </w:rPr>
        <w:t>TERCERO.-</w:t>
      </w:r>
      <w:proofErr w:type="gramEnd"/>
      <w:r w:rsidRPr="00C17082">
        <w:rPr>
          <w:rFonts w:ascii="Bookman Old Style" w:hAnsi="Bookman Old Style"/>
          <w:sz w:val="24"/>
          <w:szCs w:val="24"/>
        </w:rPr>
        <w:t xml:space="preserve"> Se derogan todas aquellas disposiciones reglamentarias de carácter municipal en lo que se opongan al contenido del presente ordenamiento.</w:t>
      </w:r>
    </w:p>
    <w:p w14:paraId="031DC4F7" w14:textId="77777777" w:rsidR="00334BD6" w:rsidRPr="00C17082" w:rsidRDefault="00334BD6" w:rsidP="0057628D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62D059E0" w14:textId="2819DF38" w:rsidR="00C17082" w:rsidRDefault="00C17082" w:rsidP="0057628D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7628D">
        <w:rPr>
          <w:rFonts w:ascii="Bookman Old Style" w:hAnsi="Bookman Old Style"/>
          <w:b/>
          <w:bCs/>
          <w:sz w:val="24"/>
          <w:szCs w:val="24"/>
        </w:rPr>
        <w:t>P U N T O S   D E   A C U E R D O</w:t>
      </w:r>
    </w:p>
    <w:p w14:paraId="039536A0" w14:textId="77777777" w:rsidR="00334BD6" w:rsidRPr="0057628D" w:rsidRDefault="00334BD6" w:rsidP="0057628D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23FBFC56" w14:textId="142A282C" w:rsidR="00334BD6" w:rsidRDefault="00C17082" w:rsidP="00714969">
      <w:pPr>
        <w:ind w:firstLine="1418"/>
        <w:jc w:val="both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Por lo anteriormente fundado, motivado y expuesto, tengo a bien someter a la distinguida consideración de este Honorable Pleno del Ayuntamiento Constitucional de Zapotlán el Grande, Jalisco, los siguientes:</w:t>
      </w:r>
    </w:p>
    <w:p w14:paraId="3053E8AB" w14:textId="77777777" w:rsidR="00714969" w:rsidRPr="00C17082" w:rsidRDefault="00714969" w:rsidP="00714969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2D6F4C08" w14:textId="714650C4" w:rsidR="00C17082" w:rsidRDefault="00C17082" w:rsidP="00334BD6">
      <w:pPr>
        <w:ind w:firstLine="1418"/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334BD6">
        <w:rPr>
          <w:rFonts w:ascii="Bookman Old Style" w:hAnsi="Bookman Old Style"/>
          <w:b/>
          <w:bCs/>
          <w:sz w:val="24"/>
          <w:szCs w:val="24"/>
        </w:rPr>
        <w:t>PRIMERO.-</w:t>
      </w:r>
      <w:proofErr w:type="gramEnd"/>
      <w:r w:rsidRPr="00C17082">
        <w:rPr>
          <w:rFonts w:ascii="Bookman Old Style" w:hAnsi="Bookman Old Style"/>
          <w:sz w:val="24"/>
          <w:szCs w:val="24"/>
        </w:rPr>
        <w:t xml:space="preserve"> Se aprueba el TURNO de la presente Iniciativa de Ordenamiento Municipal a la COMISIÓN EDILICIA PERMANENTE DE REGLAMENTOS Y GOBERNACIÓN como Órgano Colegiado Convocante, así como a las COMISIONES EDILICIAS PERMANENTES DE ESPECTÁCULOS PÚBLICOS, INSPECCIÓN Y VIGILANCIA, y DE HACIENDA PÚBLICA Y PATRIMONIO MUNICIPAL como Coadyuvantes, a efecto de que se avoquen a su estudio, análisis, deliberación y emisión del dictamen correspondiente con arreglo a derecho.</w:t>
      </w:r>
    </w:p>
    <w:p w14:paraId="69AB1B89" w14:textId="77777777" w:rsidR="00714969" w:rsidRDefault="00714969" w:rsidP="00334BD6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25A4C195" w14:textId="77777777" w:rsidR="00714969" w:rsidRPr="00C17082" w:rsidRDefault="00714969" w:rsidP="00334BD6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21C4A826" w14:textId="3CA3364A" w:rsidR="00C17082" w:rsidRDefault="00C17082" w:rsidP="00334BD6">
      <w:pPr>
        <w:ind w:firstLine="1418"/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334BD6">
        <w:rPr>
          <w:rFonts w:ascii="Bookman Old Style" w:hAnsi="Bookman Old Style"/>
          <w:b/>
          <w:bCs/>
          <w:sz w:val="24"/>
          <w:szCs w:val="24"/>
        </w:rPr>
        <w:t>SEGUNDO.-</w:t>
      </w:r>
      <w:proofErr w:type="gramEnd"/>
      <w:r w:rsidRPr="00334BD6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C17082">
        <w:rPr>
          <w:rFonts w:ascii="Bookman Old Style" w:hAnsi="Bookman Old Style"/>
          <w:sz w:val="24"/>
          <w:szCs w:val="24"/>
        </w:rPr>
        <w:t>Se instruye a la Secretaría General de este H. Ayuntamiento para que remita formalmente el expediente respectivo y la documentación técnica a las comisiones edilicias señaladas en el acuerdo que antecede, para el debido cumplimiento procedimental.</w:t>
      </w:r>
    </w:p>
    <w:p w14:paraId="5C668175" w14:textId="77777777" w:rsidR="00714969" w:rsidRPr="00C17082" w:rsidRDefault="00714969" w:rsidP="00334BD6">
      <w:pPr>
        <w:ind w:firstLine="1418"/>
        <w:jc w:val="both"/>
        <w:rPr>
          <w:rFonts w:ascii="Bookman Old Style" w:hAnsi="Bookman Old Style"/>
          <w:sz w:val="24"/>
          <w:szCs w:val="24"/>
        </w:rPr>
      </w:pPr>
    </w:p>
    <w:p w14:paraId="10737A19" w14:textId="5B244A4D" w:rsidR="00C17082" w:rsidRPr="00C17082" w:rsidRDefault="00C17082" w:rsidP="00334BD6">
      <w:pPr>
        <w:ind w:firstLine="1418"/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334BD6">
        <w:rPr>
          <w:rFonts w:ascii="Bookman Old Style" w:hAnsi="Bookman Old Style"/>
          <w:b/>
          <w:bCs/>
          <w:sz w:val="24"/>
          <w:szCs w:val="24"/>
        </w:rPr>
        <w:t>TERCERO.-</w:t>
      </w:r>
      <w:proofErr w:type="gramEnd"/>
      <w:r w:rsidR="00334BD6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C17082">
        <w:rPr>
          <w:rFonts w:ascii="Bookman Old Style" w:hAnsi="Bookman Old Style"/>
          <w:sz w:val="24"/>
          <w:szCs w:val="24"/>
        </w:rPr>
        <w:t>Se solicita a las Comisiones Colegiadas dictaminadoras emitir el dictamen resolutivo dentro del término normado en el Reglamento Interior del Ayuntamiento de Zapotlán el Grande, a efecto de someter su resolución definitiva ante el Pleno de este Órgano de Gobierno.</w:t>
      </w:r>
    </w:p>
    <w:p w14:paraId="391FBEB7" w14:textId="77777777" w:rsidR="00C17082" w:rsidRPr="00C17082" w:rsidRDefault="00C17082" w:rsidP="00334BD6">
      <w:pPr>
        <w:jc w:val="center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A T E N T A M E N T E</w:t>
      </w:r>
    </w:p>
    <w:p w14:paraId="11E43DB6" w14:textId="77777777" w:rsidR="00C17082" w:rsidRPr="00C17082" w:rsidRDefault="00C17082" w:rsidP="00334BD6">
      <w:pPr>
        <w:jc w:val="center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 xml:space="preserve">“2026, Centenario Del Natalicio Del Compositor </w:t>
      </w:r>
      <w:proofErr w:type="spellStart"/>
      <w:r w:rsidRPr="00C17082">
        <w:rPr>
          <w:rFonts w:ascii="Bookman Old Style" w:hAnsi="Bookman Old Style"/>
          <w:sz w:val="24"/>
          <w:szCs w:val="24"/>
        </w:rPr>
        <w:t>Zapotlense</w:t>
      </w:r>
      <w:proofErr w:type="spellEnd"/>
      <w:r w:rsidRPr="00C17082">
        <w:rPr>
          <w:rFonts w:ascii="Bookman Old Style" w:hAnsi="Bookman Old Style"/>
          <w:sz w:val="24"/>
          <w:szCs w:val="24"/>
        </w:rPr>
        <w:t xml:space="preserve"> Rubén Fuentes </w:t>
      </w:r>
      <w:proofErr w:type="spellStart"/>
      <w:r w:rsidRPr="00C17082">
        <w:rPr>
          <w:rFonts w:ascii="Bookman Old Style" w:hAnsi="Bookman Old Style"/>
          <w:sz w:val="24"/>
          <w:szCs w:val="24"/>
        </w:rPr>
        <w:t>Gasson</w:t>
      </w:r>
      <w:proofErr w:type="spellEnd"/>
      <w:r w:rsidRPr="00C17082">
        <w:rPr>
          <w:rFonts w:ascii="Bookman Old Style" w:hAnsi="Bookman Old Style"/>
          <w:sz w:val="24"/>
          <w:szCs w:val="24"/>
        </w:rPr>
        <w:t>”</w:t>
      </w:r>
    </w:p>
    <w:p w14:paraId="7C2030AD" w14:textId="77777777" w:rsidR="00C17082" w:rsidRPr="00C17082" w:rsidRDefault="00C17082" w:rsidP="00334BD6">
      <w:pPr>
        <w:jc w:val="center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“2026, Centenario Del Aniversario Del Literario Roberto Espinoza Guzmán”</w:t>
      </w:r>
    </w:p>
    <w:p w14:paraId="79F85A93" w14:textId="77777777" w:rsidR="00C17082" w:rsidRPr="00C17082" w:rsidRDefault="00C17082" w:rsidP="00334BD6">
      <w:pPr>
        <w:jc w:val="center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 xml:space="preserve">“2026, </w:t>
      </w:r>
      <w:proofErr w:type="gramStart"/>
      <w:r w:rsidRPr="00C17082">
        <w:rPr>
          <w:rFonts w:ascii="Bookman Old Style" w:hAnsi="Bookman Old Style"/>
          <w:sz w:val="24"/>
          <w:szCs w:val="24"/>
        </w:rPr>
        <w:t>Centésimo</w:t>
      </w:r>
      <w:proofErr w:type="gramEnd"/>
      <w:r w:rsidRPr="00C17082">
        <w:rPr>
          <w:rFonts w:ascii="Bookman Old Style" w:hAnsi="Bookman Old Style"/>
          <w:sz w:val="24"/>
          <w:szCs w:val="24"/>
        </w:rPr>
        <w:t xml:space="preserve"> Quincuagésimo Aniversario Del Natalicio Del Compositor Y Director De Orquesta José Paulino De Jesús Rolón Alcaraz”</w:t>
      </w:r>
    </w:p>
    <w:p w14:paraId="47B7B1D0" w14:textId="77777777" w:rsidR="00C17082" w:rsidRPr="00C17082" w:rsidRDefault="00C17082" w:rsidP="00334BD6">
      <w:pPr>
        <w:jc w:val="center"/>
        <w:rPr>
          <w:rFonts w:ascii="Bookman Old Style" w:hAnsi="Bookman Old Style"/>
          <w:sz w:val="24"/>
          <w:szCs w:val="24"/>
        </w:rPr>
      </w:pPr>
      <w:r w:rsidRPr="00C17082">
        <w:rPr>
          <w:rFonts w:ascii="Bookman Old Style" w:hAnsi="Bookman Old Style"/>
          <w:sz w:val="24"/>
          <w:szCs w:val="24"/>
        </w:rPr>
        <w:t>Ciudad Guzmán, Municipio de Zapotlán el Grande, Jalisco; septiembre de 2026.</w:t>
      </w:r>
    </w:p>
    <w:p w14:paraId="0F7908E8" w14:textId="77777777" w:rsidR="009240A0" w:rsidRPr="009240A0" w:rsidRDefault="009240A0" w:rsidP="009240A0">
      <w:pPr>
        <w:jc w:val="center"/>
        <w:rPr>
          <w:rFonts w:ascii="Bookman Old Style" w:hAnsi="Bookman Old Style" w:cs="Arial"/>
        </w:rPr>
      </w:pPr>
    </w:p>
    <w:p w14:paraId="31576B99" w14:textId="77777777" w:rsidR="009240A0" w:rsidRPr="00CC15E9" w:rsidRDefault="009240A0" w:rsidP="009240A0">
      <w:pPr>
        <w:pStyle w:val="Cuerpo"/>
        <w:spacing w:after="0" w:line="240" w:lineRule="auto"/>
        <w:jc w:val="center"/>
        <w:rPr>
          <w:rStyle w:val="Ninguno"/>
          <w:rFonts w:ascii="Bookman Old Style" w:eastAsia="Arial" w:hAnsi="Bookman Old Style" w:cs="Arial"/>
          <w:b/>
          <w:bCs/>
          <w:sz w:val="24"/>
          <w:szCs w:val="24"/>
          <w:lang w:val="es-MX"/>
        </w:rPr>
      </w:pPr>
      <w:r w:rsidRPr="00CC15E9">
        <w:rPr>
          <w:rStyle w:val="Ninguno"/>
          <w:rFonts w:ascii="Bookman Old Style" w:hAnsi="Bookman Old Style"/>
          <w:b/>
          <w:bCs/>
          <w:sz w:val="24"/>
          <w:szCs w:val="24"/>
          <w:lang w:val="es-MX"/>
        </w:rPr>
        <w:t xml:space="preserve">C. ERNESTO SANCHEZ </w:t>
      </w:r>
      <w:proofErr w:type="spellStart"/>
      <w:r w:rsidRPr="00CC15E9">
        <w:rPr>
          <w:rStyle w:val="Ninguno"/>
          <w:rFonts w:ascii="Bookman Old Style" w:hAnsi="Bookman Old Style"/>
          <w:b/>
          <w:bCs/>
          <w:sz w:val="24"/>
          <w:szCs w:val="24"/>
          <w:lang w:val="es-MX"/>
        </w:rPr>
        <w:t>SANCHEZ</w:t>
      </w:r>
      <w:proofErr w:type="spellEnd"/>
      <w:r w:rsidRPr="00CC15E9">
        <w:rPr>
          <w:rStyle w:val="Ninguno"/>
          <w:rFonts w:ascii="Bookman Old Style" w:hAnsi="Bookman Old Style"/>
          <w:b/>
          <w:bCs/>
          <w:sz w:val="24"/>
          <w:szCs w:val="24"/>
          <w:lang w:val="es-MX"/>
        </w:rPr>
        <w:t>.</w:t>
      </w:r>
    </w:p>
    <w:p w14:paraId="01C792B8" w14:textId="77777777" w:rsidR="009240A0" w:rsidRPr="00CC15E9" w:rsidRDefault="009240A0" w:rsidP="009240A0">
      <w:pPr>
        <w:pStyle w:val="Cuerpo"/>
        <w:spacing w:after="0" w:line="240" w:lineRule="auto"/>
        <w:jc w:val="center"/>
        <w:rPr>
          <w:rStyle w:val="Ninguno"/>
          <w:rFonts w:ascii="Bookman Old Style" w:eastAsia="Arial" w:hAnsi="Bookman Old Style" w:cs="Arial"/>
          <w:sz w:val="24"/>
          <w:szCs w:val="24"/>
          <w:lang w:val="es-MX"/>
        </w:rPr>
      </w:pPr>
      <w:r w:rsidRPr="00CC15E9">
        <w:rPr>
          <w:rStyle w:val="Ninguno"/>
          <w:rFonts w:ascii="Bookman Old Style" w:hAnsi="Bookman Old Style"/>
          <w:sz w:val="24"/>
          <w:szCs w:val="24"/>
          <w:lang w:val="es-MX"/>
        </w:rPr>
        <w:t xml:space="preserve">Regidor presidente de la Comisión </w:t>
      </w:r>
      <w:proofErr w:type="gramStart"/>
      <w:r w:rsidRPr="00CC15E9">
        <w:rPr>
          <w:rStyle w:val="Ninguno"/>
          <w:rFonts w:ascii="Bookman Old Style" w:hAnsi="Bookman Old Style"/>
          <w:sz w:val="24"/>
          <w:szCs w:val="24"/>
          <w:lang w:val="es-MX"/>
        </w:rPr>
        <w:t>Edilicia</w:t>
      </w:r>
      <w:proofErr w:type="gramEnd"/>
      <w:r w:rsidRPr="00CC15E9">
        <w:rPr>
          <w:rStyle w:val="Ninguno"/>
          <w:rFonts w:ascii="Bookman Old Style" w:hAnsi="Bookman Old Style"/>
          <w:sz w:val="24"/>
          <w:szCs w:val="24"/>
          <w:lang w:val="es-MX"/>
        </w:rPr>
        <w:t xml:space="preserve"> Permanente de Espectáculos Públicos </w:t>
      </w:r>
    </w:p>
    <w:p w14:paraId="605450EB" w14:textId="77777777" w:rsidR="009240A0" w:rsidRPr="009240A0" w:rsidRDefault="009240A0" w:rsidP="009240A0">
      <w:pPr>
        <w:pStyle w:val="Cuerpo"/>
        <w:spacing w:after="0" w:line="240" w:lineRule="auto"/>
        <w:jc w:val="center"/>
        <w:rPr>
          <w:rStyle w:val="Ninguno"/>
          <w:rFonts w:ascii="Bookman Old Style" w:eastAsia="Arial" w:hAnsi="Bookman Old Style" w:cs="Arial"/>
          <w:sz w:val="20"/>
          <w:szCs w:val="20"/>
          <w:lang w:val="es-MX"/>
        </w:rPr>
      </w:pPr>
      <w:r w:rsidRPr="00CC15E9">
        <w:rPr>
          <w:rStyle w:val="Ninguno"/>
          <w:rFonts w:ascii="Bookman Old Style" w:hAnsi="Bookman Old Style"/>
          <w:sz w:val="24"/>
          <w:szCs w:val="24"/>
          <w:lang w:val="es-MX"/>
        </w:rPr>
        <w:t>e Inspección y Vigilancia</w:t>
      </w:r>
      <w:r w:rsidRPr="009240A0">
        <w:rPr>
          <w:rStyle w:val="Ninguno"/>
          <w:rFonts w:ascii="Bookman Old Style" w:hAnsi="Bookman Old Style"/>
          <w:sz w:val="20"/>
          <w:szCs w:val="20"/>
          <w:lang w:val="es-MX"/>
        </w:rPr>
        <w:t>.</w:t>
      </w:r>
    </w:p>
    <w:p w14:paraId="1DB12A6E" w14:textId="77777777" w:rsidR="009240A0" w:rsidRPr="009240A0" w:rsidRDefault="009240A0" w:rsidP="009240A0">
      <w:pPr>
        <w:pStyle w:val="Cuerpo"/>
        <w:spacing w:line="240" w:lineRule="auto"/>
        <w:jc w:val="both"/>
        <w:rPr>
          <w:rStyle w:val="Ninguno"/>
          <w:rFonts w:ascii="Bookman Old Style" w:eastAsia="Arial" w:hAnsi="Bookman Old Style" w:cs="Arial"/>
          <w:sz w:val="20"/>
          <w:szCs w:val="20"/>
          <w:lang w:val="es-MX"/>
        </w:rPr>
      </w:pPr>
    </w:p>
    <w:p w14:paraId="30B58D63" w14:textId="77777777" w:rsidR="009240A0" w:rsidRPr="009240A0" w:rsidRDefault="009240A0" w:rsidP="009240A0">
      <w:pPr>
        <w:pStyle w:val="Cuerpo"/>
        <w:spacing w:line="240" w:lineRule="auto"/>
        <w:jc w:val="both"/>
        <w:rPr>
          <w:rStyle w:val="Ninguno"/>
          <w:rFonts w:ascii="Bookman Old Style" w:eastAsia="Arial" w:hAnsi="Bookman Old Style" w:cs="Arial"/>
          <w:sz w:val="20"/>
          <w:szCs w:val="20"/>
          <w:lang w:val="es-MX"/>
        </w:rPr>
      </w:pPr>
    </w:p>
    <w:p w14:paraId="3FFDD71F" w14:textId="77777777" w:rsidR="009240A0" w:rsidRPr="009240A0" w:rsidRDefault="009240A0" w:rsidP="009240A0">
      <w:pPr>
        <w:pStyle w:val="Cuerpo"/>
        <w:spacing w:after="0" w:line="240" w:lineRule="auto"/>
        <w:jc w:val="both"/>
        <w:rPr>
          <w:rStyle w:val="Ninguno"/>
          <w:rFonts w:ascii="Bookman Old Style" w:eastAsia="Arial" w:hAnsi="Bookman Old Style" w:cs="Arial"/>
          <w:sz w:val="20"/>
          <w:szCs w:val="20"/>
          <w:lang w:val="es-MX"/>
        </w:rPr>
      </w:pPr>
    </w:p>
    <w:p w14:paraId="08329708" w14:textId="77777777" w:rsidR="009240A0" w:rsidRPr="00CC15E9" w:rsidRDefault="009240A0" w:rsidP="009240A0">
      <w:pPr>
        <w:pStyle w:val="Cuerpo"/>
        <w:spacing w:after="0" w:line="240" w:lineRule="auto"/>
        <w:jc w:val="both"/>
        <w:rPr>
          <w:rStyle w:val="Ninguno"/>
          <w:rFonts w:ascii="Bookman Old Style" w:eastAsia="Arial" w:hAnsi="Bookman Old Style" w:cs="Arial"/>
          <w:lang w:val="es-MX"/>
        </w:rPr>
      </w:pPr>
    </w:p>
    <w:p w14:paraId="17D8CE6C" w14:textId="3BE190B1" w:rsidR="009240A0" w:rsidRPr="00CC15E9" w:rsidRDefault="009240A0" w:rsidP="00CC15E9">
      <w:pPr>
        <w:pStyle w:val="Cuerpo"/>
        <w:spacing w:after="0" w:line="240" w:lineRule="auto"/>
        <w:jc w:val="center"/>
        <w:rPr>
          <w:rStyle w:val="Ninguno"/>
          <w:rFonts w:ascii="Bookman Old Style" w:eastAsia="Arial" w:hAnsi="Bookman Old Style" w:cs="Arial"/>
          <w:b/>
          <w:bCs/>
          <w:sz w:val="24"/>
          <w:szCs w:val="24"/>
          <w:lang w:val="es-MX"/>
        </w:rPr>
      </w:pPr>
      <w:r w:rsidRPr="00CC15E9">
        <w:rPr>
          <w:rStyle w:val="Ninguno"/>
          <w:rFonts w:ascii="Bookman Old Style" w:hAnsi="Bookman Old Style"/>
          <w:b/>
          <w:bCs/>
          <w:sz w:val="24"/>
          <w:szCs w:val="24"/>
          <w:lang w:val="es-MX"/>
        </w:rPr>
        <w:t>C. MARISOL MENDOZA PINTO.           C. OSCAR MURGUIA TORRES.</w:t>
      </w:r>
    </w:p>
    <w:p w14:paraId="7373C7C5" w14:textId="33E28A1F" w:rsidR="009240A0" w:rsidRPr="00CC15E9" w:rsidRDefault="009240A0" w:rsidP="00CC15E9">
      <w:pPr>
        <w:pStyle w:val="Cuerpo"/>
        <w:spacing w:after="0" w:line="240" w:lineRule="auto"/>
        <w:jc w:val="center"/>
        <w:rPr>
          <w:rStyle w:val="Ninguno"/>
          <w:rFonts w:ascii="Bookman Old Style" w:eastAsia="Arial" w:hAnsi="Bookman Old Style" w:cs="Arial"/>
          <w:sz w:val="24"/>
          <w:szCs w:val="24"/>
          <w:lang w:val="es-MX"/>
        </w:rPr>
      </w:pPr>
      <w:r w:rsidRPr="00CC15E9">
        <w:rPr>
          <w:rStyle w:val="Ninguno"/>
          <w:rFonts w:ascii="Bookman Old Style" w:hAnsi="Bookman Old Style"/>
          <w:sz w:val="24"/>
          <w:szCs w:val="24"/>
          <w:lang w:val="es-MX"/>
        </w:rPr>
        <w:t xml:space="preserve">Vocal de la Comisión </w:t>
      </w:r>
      <w:proofErr w:type="gramStart"/>
      <w:r w:rsidRPr="00CC15E9">
        <w:rPr>
          <w:rStyle w:val="Ninguno"/>
          <w:rFonts w:ascii="Bookman Old Style" w:hAnsi="Bookman Old Style"/>
          <w:sz w:val="24"/>
          <w:szCs w:val="24"/>
          <w:lang w:val="es-MX"/>
        </w:rPr>
        <w:t>Edilicia</w:t>
      </w:r>
      <w:proofErr w:type="gramEnd"/>
      <w:r w:rsidRPr="00CC15E9">
        <w:rPr>
          <w:rStyle w:val="Ninguno"/>
          <w:rFonts w:ascii="Bookman Old Style" w:hAnsi="Bookman Old Style"/>
          <w:sz w:val="24"/>
          <w:szCs w:val="24"/>
          <w:lang w:val="es-MX"/>
        </w:rPr>
        <w:t xml:space="preserve">                     Vocal de la Comisión</w:t>
      </w:r>
      <w:r w:rsidR="00CC15E9" w:rsidRPr="00CC15E9">
        <w:rPr>
          <w:rStyle w:val="Ninguno"/>
          <w:rFonts w:ascii="Bookman Old Style" w:hAnsi="Bookman Old Style"/>
          <w:sz w:val="24"/>
          <w:szCs w:val="24"/>
          <w:lang w:val="es-MX"/>
        </w:rPr>
        <w:t xml:space="preserve"> </w:t>
      </w:r>
      <w:r w:rsidRPr="00CC15E9">
        <w:rPr>
          <w:rStyle w:val="Ninguno"/>
          <w:rFonts w:ascii="Bookman Old Style" w:hAnsi="Bookman Old Style"/>
          <w:sz w:val="24"/>
          <w:szCs w:val="24"/>
          <w:lang w:val="es-MX"/>
        </w:rPr>
        <w:t>Edilicia</w:t>
      </w:r>
    </w:p>
    <w:p w14:paraId="3BC3B5CC" w14:textId="1A9E1F9D" w:rsidR="009240A0" w:rsidRPr="00CC15E9" w:rsidRDefault="009240A0" w:rsidP="00CC15E9">
      <w:pPr>
        <w:pStyle w:val="Cuerpo"/>
        <w:spacing w:after="0" w:line="240" w:lineRule="auto"/>
        <w:jc w:val="center"/>
        <w:rPr>
          <w:rStyle w:val="Ninguno"/>
          <w:rFonts w:ascii="Bookman Old Style" w:eastAsia="Arial" w:hAnsi="Bookman Old Style" w:cs="Arial"/>
          <w:sz w:val="24"/>
          <w:szCs w:val="24"/>
          <w:lang w:val="es-MX"/>
        </w:rPr>
      </w:pPr>
      <w:r w:rsidRPr="00CC15E9">
        <w:rPr>
          <w:rStyle w:val="Ninguno"/>
          <w:rFonts w:ascii="Bookman Old Style" w:hAnsi="Bookman Old Style"/>
          <w:sz w:val="24"/>
          <w:szCs w:val="24"/>
          <w:lang w:val="es-MX"/>
        </w:rPr>
        <w:t>Permanente de Espectáculos                   Permanente de Espectáculos</w:t>
      </w:r>
    </w:p>
    <w:p w14:paraId="5E2215DE" w14:textId="01B55769" w:rsidR="009240A0" w:rsidRPr="00CC15E9" w:rsidRDefault="009240A0" w:rsidP="00CC15E9">
      <w:pPr>
        <w:pStyle w:val="Cuerpo"/>
        <w:spacing w:after="0" w:line="240" w:lineRule="auto"/>
        <w:jc w:val="center"/>
        <w:rPr>
          <w:rStyle w:val="Ninguno"/>
          <w:rFonts w:ascii="Bookman Old Style" w:eastAsia="Arial" w:hAnsi="Bookman Old Style" w:cs="Arial"/>
          <w:sz w:val="24"/>
          <w:szCs w:val="24"/>
          <w:lang w:val="es-MX"/>
        </w:rPr>
      </w:pPr>
      <w:r w:rsidRPr="00CC15E9">
        <w:rPr>
          <w:rStyle w:val="Ninguno"/>
          <w:rFonts w:ascii="Bookman Old Style" w:hAnsi="Bookman Old Style"/>
          <w:sz w:val="24"/>
          <w:szCs w:val="24"/>
          <w:lang w:val="es-MX"/>
        </w:rPr>
        <w:t>Públicos e Inspección                                Públicos e Inspección</w:t>
      </w:r>
    </w:p>
    <w:p w14:paraId="5CADDFC8" w14:textId="1B28CB62" w:rsidR="009240A0" w:rsidRPr="00CC15E9" w:rsidRDefault="009240A0" w:rsidP="00CC15E9">
      <w:pPr>
        <w:pStyle w:val="Cuerpo"/>
        <w:spacing w:after="0" w:line="240" w:lineRule="auto"/>
        <w:jc w:val="center"/>
        <w:rPr>
          <w:rStyle w:val="Ninguno"/>
          <w:rFonts w:ascii="Bookman Old Style" w:eastAsia="Arial" w:hAnsi="Bookman Old Style" w:cs="Arial"/>
          <w:sz w:val="24"/>
          <w:szCs w:val="24"/>
          <w:lang w:val="es-MX"/>
        </w:rPr>
      </w:pPr>
      <w:r w:rsidRPr="00CC15E9">
        <w:rPr>
          <w:rStyle w:val="Ninguno"/>
          <w:rFonts w:ascii="Bookman Old Style" w:hAnsi="Bookman Old Style"/>
          <w:sz w:val="24"/>
          <w:szCs w:val="24"/>
          <w:lang w:val="es-MX"/>
        </w:rPr>
        <w:t>y Vigilancia.                                                 y Vigilancia.</w:t>
      </w:r>
    </w:p>
    <w:p w14:paraId="156ED858" w14:textId="77777777" w:rsidR="009240A0" w:rsidRPr="00CC15E9" w:rsidRDefault="009240A0" w:rsidP="009240A0">
      <w:pPr>
        <w:pStyle w:val="Cuerpo"/>
        <w:spacing w:line="240" w:lineRule="auto"/>
        <w:jc w:val="both"/>
        <w:rPr>
          <w:rStyle w:val="Ninguno"/>
          <w:rFonts w:ascii="Bookman Old Style" w:hAnsi="Bookman Old Style"/>
          <w:sz w:val="24"/>
          <w:szCs w:val="24"/>
          <w:lang w:val="es-MX"/>
        </w:rPr>
      </w:pPr>
    </w:p>
    <w:p w14:paraId="586E75E5" w14:textId="77777777" w:rsidR="009240A0" w:rsidRPr="009240A0" w:rsidRDefault="009240A0" w:rsidP="009240A0">
      <w:pPr>
        <w:pStyle w:val="Cuerpo"/>
        <w:spacing w:line="240" w:lineRule="auto"/>
        <w:jc w:val="both"/>
        <w:rPr>
          <w:rStyle w:val="Ninguno"/>
          <w:rFonts w:ascii="Bookman Old Style" w:hAnsi="Bookman Old Style"/>
          <w:sz w:val="20"/>
          <w:szCs w:val="20"/>
          <w:lang w:val="es-MX"/>
        </w:rPr>
      </w:pPr>
    </w:p>
    <w:p w14:paraId="0AF6AC68" w14:textId="77777777" w:rsidR="009240A0" w:rsidRPr="009240A0" w:rsidRDefault="009240A0" w:rsidP="009240A0">
      <w:pPr>
        <w:pStyle w:val="Cuerpo"/>
        <w:spacing w:line="240" w:lineRule="auto"/>
        <w:jc w:val="both"/>
        <w:rPr>
          <w:rStyle w:val="Ninguno"/>
          <w:rFonts w:ascii="Bookman Old Style" w:hAnsi="Bookman Old Style" w:cs="Arial"/>
          <w:sz w:val="20"/>
          <w:szCs w:val="20"/>
          <w:lang w:val="es-MX"/>
        </w:rPr>
      </w:pPr>
      <w:r w:rsidRPr="009240A0">
        <w:rPr>
          <w:rStyle w:val="Ninguno"/>
          <w:rFonts w:ascii="Bookman Old Style" w:hAnsi="Bookman Old Style" w:cs="Arial"/>
          <w:sz w:val="20"/>
          <w:szCs w:val="20"/>
          <w:lang w:val="es-MX"/>
        </w:rPr>
        <w:t>ARCHIVO---ESS/</w:t>
      </w:r>
      <w:proofErr w:type="spellStart"/>
      <w:r w:rsidRPr="009240A0">
        <w:rPr>
          <w:rStyle w:val="Ninguno"/>
          <w:rFonts w:ascii="Bookman Old Style" w:hAnsi="Bookman Old Style" w:cs="Arial"/>
          <w:sz w:val="20"/>
          <w:szCs w:val="20"/>
          <w:lang w:val="es-MX"/>
        </w:rPr>
        <w:t>jusj</w:t>
      </w:r>
      <w:proofErr w:type="spellEnd"/>
    </w:p>
    <w:p w14:paraId="459D614A" w14:textId="77777777" w:rsidR="00C17082" w:rsidRPr="00C17082" w:rsidRDefault="00C17082" w:rsidP="00C17082">
      <w:pPr>
        <w:jc w:val="both"/>
        <w:rPr>
          <w:rFonts w:ascii="Bookman Old Style" w:hAnsi="Bookman Old Style"/>
          <w:sz w:val="24"/>
          <w:szCs w:val="24"/>
        </w:rPr>
      </w:pPr>
    </w:p>
    <w:sectPr w:rsidR="00C17082" w:rsidRPr="00C1708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67762" w14:textId="77777777" w:rsidR="007C5C0F" w:rsidRDefault="007C5C0F" w:rsidP="002F76B5">
      <w:pPr>
        <w:spacing w:after="0" w:line="240" w:lineRule="auto"/>
      </w:pPr>
      <w:r>
        <w:separator/>
      </w:r>
    </w:p>
  </w:endnote>
  <w:endnote w:type="continuationSeparator" w:id="0">
    <w:p w14:paraId="78AF5828" w14:textId="77777777" w:rsidR="007C5C0F" w:rsidRDefault="007C5C0F" w:rsidP="002F7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5876B" w14:textId="77777777" w:rsidR="007C5C0F" w:rsidRDefault="007C5C0F" w:rsidP="002F76B5">
      <w:pPr>
        <w:spacing w:after="0" w:line="240" w:lineRule="auto"/>
      </w:pPr>
      <w:r>
        <w:separator/>
      </w:r>
    </w:p>
  </w:footnote>
  <w:footnote w:type="continuationSeparator" w:id="0">
    <w:p w14:paraId="3E14ED7C" w14:textId="77777777" w:rsidR="007C5C0F" w:rsidRDefault="007C5C0F" w:rsidP="002F7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background1" w:themeShade="7F"/>
        <w:spacing w:val="60"/>
        <w:lang w:val="es-ES"/>
      </w:rPr>
      <w:id w:val="-797833396"/>
      <w:docPartObj>
        <w:docPartGallery w:val="Page Numbers (Top of Page)"/>
        <w:docPartUnique/>
      </w:docPartObj>
    </w:sdtPr>
    <w:sdtEndPr>
      <w:rPr>
        <w:rFonts w:ascii="Bookman Old Style" w:hAnsi="Bookman Old Style"/>
        <w:b/>
        <w:bCs/>
        <w:color w:val="auto"/>
        <w:spacing w:val="0"/>
        <w:sz w:val="30"/>
        <w:szCs w:val="30"/>
        <w:lang w:val="es-MX"/>
      </w:rPr>
    </w:sdtEndPr>
    <w:sdtContent>
      <w:p w14:paraId="2FA9A6C3" w14:textId="08B4AC8A" w:rsidR="002F76B5" w:rsidRPr="002F76B5" w:rsidRDefault="00334BD6">
        <w:pPr>
          <w:pStyle w:val="Encabezado"/>
          <w:pBdr>
            <w:bottom w:val="single" w:sz="4" w:space="1" w:color="D9D9D9" w:themeColor="background1" w:themeShade="D9"/>
          </w:pBdr>
          <w:jc w:val="right"/>
          <w:rPr>
            <w:rFonts w:ascii="Bookman Old Style" w:hAnsi="Bookman Old Style"/>
            <w:b/>
            <w:bCs/>
            <w:sz w:val="30"/>
            <w:szCs w:val="30"/>
          </w:rPr>
        </w:pPr>
        <w:r>
          <w:rPr>
            <w:rFonts w:ascii="Bookman Old Style" w:hAnsi="Bookman Old Style"/>
            <w:noProof/>
            <w:color w:val="7F7F7F" w:themeColor="background1" w:themeShade="7F"/>
            <w:spacing w:val="60"/>
            <w:sz w:val="30"/>
            <w:szCs w:val="30"/>
            <w:lang w:val="es-ES"/>
          </w:rPr>
          <w:pict w14:anchorId="07CD009B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694220752" o:spid="_x0000_s2049" type="#_x0000_t75" style="position:absolute;left:0;text-align:left;margin-left:-85.2pt;margin-top:-63.6pt;width:612.25pt;height:808.05pt;z-index:-251658240;mso-position-horizontal-relative:margin;mso-position-vertical-relative:margin" o:allowincell="f">
              <v:imagedata r:id="rId1" o:title="Hoja membretada"/>
              <w10:wrap anchorx="margin" anchory="margin"/>
            </v:shape>
          </w:pict>
        </w:r>
        <w:r w:rsidR="002F76B5" w:rsidRPr="002F76B5">
          <w:rPr>
            <w:rFonts w:ascii="Bookman Old Style" w:hAnsi="Bookman Old Style"/>
            <w:color w:val="7F7F7F" w:themeColor="background1" w:themeShade="7F"/>
            <w:spacing w:val="60"/>
            <w:sz w:val="30"/>
            <w:szCs w:val="30"/>
            <w:lang w:val="es-ES"/>
          </w:rPr>
          <w:t>Página</w:t>
        </w:r>
        <w:r w:rsidR="002F76B5" w:rsidRPr="002F76B5">
          <w:rPr>
            <w:rFonts w:ascii="Bookman Old Style" w:hAnsi="Bookman Old Style"/>
            <w:sz w:val="30"/>
            <w:szCs w:val="30"/>
            <w:lang w:val="es-ES"/>
          </w:rPr>
          <w:t xml:space="preserve"> | </w:t>
        </w:r>
        <w:r w:rsidR="002F76B5" w:rsidRPr="002F76B5">
          <w:rPr>
            <w:rFonts w:ascii="Bookman Old Style" w:hAnsi="Bookman Old Style"/>
            <w:sz w:val="30"/>
            <w:szCs w:val="30"/>
          </w:rPr>
          <w:fldChar w:fldCharType="begin"/>
        </w:r>
        <w:r w:rsidR="002F76B5" w:rsidRPr="002F76B5">
          <w:rPr>
            <w:rFonts w:ascii="Bookman Old Style" w:hAnsi="Bookman Old Style"/>
            <w:sz w:val="30"/>
            <w:szCs w:val="30"/>
          </w:rPr>
          <w:instrText>PAGE   \* MERGEFORMAT</w:instrText>
        </w:r>
        <w:r w:rsidR="002F76B5" w:rsidRPr="002F76B5">
          <w:rPr>
            <w:rFonts w:ascii="Bookman Old Style" w:hAnsi="Bookman Old Style"/>
            <w:sz w:val="30"/>
            <w:szCs w:val="30"/>
          </w:rPr>
          <w:fldChar w:fldCharType="separate"/>
        </w:r>
        <w:r w:rsidR="002F76B5" w:rsidRPr="002F76B5">
          <w:rPr>
            <w:rFonts w:ascii="Bookman Old Style" w:hAnsi="Bookman Old Style"/>
            <w:b/>
            <w:bCs/>
            <w:sz w:val="30"/>
            <w:szCs w:val="30"/>
            <w:lang w:val="es-ES"/>
          </w:rPr>
          <w:t>2</w:t>
        </w:r>
        <w:r w:rsidR="002F76B5" w:rsidRPr="002F76B5">
          <w:rPr>
            <w:rFonts w:ascii="Bookman Old Style" w:hAnsi="Bookman Old Style"/>
            <w:b/>
            <w:bCs/>
            <w:sz w:val="30"/>
            <w:szCs w:val="30"/>
          </w:rPr>
          <w:fldChar w:fldCharType="end"/>
        </w:r>
      </w:p>
    </w:sdtContent>
  </w:sdt>
  <w:p w14:paraId="7FCD7D67" w14:textId="77777777" w:rsidR="002F76B5" w:rsidRDefault="002F76B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AD0C10"/>
    <w:multiLevelType w:val="hybridMultilevel"/>
    <w:tmpl w:val="4224BB20"/>
    <w:lvl w:ilvl="0" w:tplc="B5340BCE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98" w:hanging="360"/>
      </w:pPr>
    </w:lvl>
    <w:lvl w:ilvl="2" w:tplc="080A001B" w:tentative="1">
      <w:start w:val="1"/>
      <w:numFmt w:val="lowerRoman"/>
      <w:lvlText w:val="%3."/>
      <w:lvlJc w:val="right"/>
      <w:pPr>
        <w:ind w:left="3218" w:hanging="180"/>
      </w:pPr>
    </w:lvl>
    <w:lvl w:ilvl="3" w:tplc="080A000F" w:tentative="1">
      <w:start w:val="1"/>
      <w:numFmt w:val="decimal"/>
      <w:lvlText w:val="%4."/>
      <w:lvlJc w:val="left"/>
      <w:pPr>
        <w:ind w:left="3938" w:hanging="360"/>
      </w:pPr>
    </w:lvl>
    <w:lvl w:ilvl="4" w:tplc="080A0019" w:tentative="1">
      <w:start w:val="1"/>
      <w:numFmt w:val="lowerLetter"/>
      <w:lvlText w:val="%5."/>
      <w:lvlJc w:val="left"/>
      <w:pPr>
        <w:ind w:left="4658" w:hanging="360"/>
      </w:pPr>
    </w:lvl>
    <w:lvl w:ilvl="5" w:tplc="080A001B" w:tentative="1">
      <w:start w:val="1"/>
      <w:numFmt w:val="lowerRoman"/>
      <w:lvlText w:val="%6."/>
      <w:lvlJc w:val="right"/>
      <w:pPr>
        <w:ind w:left="5378" w:hanging="180"/>
      </w:pPr>
    </w:lvl>
    <w:lvl w:ilvl="6" w:tplc="080A000F" w:tentative="1">
      <w:start w:val="1"/>
      <w:numFmt w:val="decimal"/>
      <w:lvlText w:val="%7."/>
      <w:lvlJc w:val="left"/>
      <w:pPr>
        <w:ind w:left="6098" w:hanging="360"/>
      </w:pPr>
    </w:lvl>
    <w:lvl w:ilvl="7" w:tplc="080A0019" w:tentative="1">
      <w:start w:val="1"/>
      <w:numFmt w:val="lowerLetter"/>
      <w:lvlText w:val="%8."/>
      <w:lvlJc w:val="left"/>
      <w:pPr>
        <w:ind w:left="6818" w:hanging="360"/>
      </w:pPr>
    </w:lvl>
    <w:lvl w:ilvl="8" w:tplc="08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082"/>
    <w:rsid w:val="002F76B5"/>
    <w:rsid w:val="00334BD6"/>
    <w:rsid w:val="0057628D"/>
    <w:rsid w:val="005A7D77"/>
    <w:rsid w:val="005E140E"/>
    <w:rsid w:val="00714969"/>
    <w:rsid w:val="007C5C0F"/>
    <w:rsid w:val="009240A0"/>
    <w:rsid w:val="00AB343E"/>
    <w:rsid w:val="00C17082"/>
    <w:rsid w:val="00CC15E9"/>
    <w:rsid w:val="00CC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6BA7A20"/>
  <w15:chartTrackingRefBased/>
  <w15:docId w15:val="{798E4DAF-4765-4C8A-A575-C21D289B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170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7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C17082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2F76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76B5"/>
  </w:style>
  <w:style w:type="paragraph" w:styleId="Piedepgina">
    <w:name w:val="footer"/>
    <w:basedOn w:val="Normal"/>
    <w:link w:val="PiedepginaCar"/>
    <w:uiPriority w:val="99"/>
    <w:unhideWhenUsed/>
    <w:rsid w:val="002F76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76B5"/>
  </w:style>
  <w:style w:type="table" w:styleId="Tabladelista3-nfasis6">
    <w:name w:val="List Table 3 Accent 6"/>
    <w:basedOn w:val="Tablanormal"/>
    <w:uiPriority w:val="48"/>
    <w:rsid w:val="005A7D7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concuadrcula4-nfasis6">
    <w:name w:val="Grid Table 4 Accent 6"/>
    <w:basedOn w:val="Tablanormal"/>
    <w:uiPriority w:val="49"/>
    <w:rsid w:val="005A7D7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Prrafodelista">
    <w:name w:val="List Paragraph"/>
    <w:basedOn w:val="Normal"/>
    <w:uiPriority w:val="34"/>
    <w:qFormat/>
    <w:rsid w:val="00714969"/>
    <w:pPr>
      <w:ind w:left="720"/>
      <w:contextualSpacing/>
    </w:pPr>
  </w:style>
  <w:style w:type="paragraph" w:customStyle="1" w:styleId="Cuerpo">
    <w:name w:val="Cuerpo"/>
    <w:rsid w:val="009240A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9240A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9</Pages>
  <Words>2890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1</cp:revision>
  <dcterms:created xsi:type="dcterms:W3CDTF">2026-09-14T15:11:00Z</dcterms:created>
  <dcterms:modified xsi:type="dcterms:W3CDTF">2026-09-14T18:18:00Z</dcterms:modified>
</cp:coreProperties>
</file>