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D5" w:rsidRPr="002E3A26" w:rsidRDefault="008D14D5" w:rsidP="008D14D5">
      <w:pPr>
        <w:spacing w:after="0" w:line="240" w:lineRule="auto"/>
        <w:rPr>
          <w:rFonts w:ascii="Arial" w:hAnsi="Arial" w:cs="Arial"/>
          <w:b/>
          <w:sz w:val="24"/>
          <w:szCs w:val="24"/>
        </w:rPr>
      </w:pPr>
    </w:p>
    <w:p w:rsidR="008D14D5" w:rsidRDefault="008D14D5" w:rsidP="008D14D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8D14D5" w:rsidRPr="002E3A26" w:rsidRDefault="008D14D5" w:rsidP="008D14D5">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8D14D5" w:rsidRDefault="008D14D5" w:rsidP="008D14D5">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8D14D5" w:rsidRDefault="008D14D5" w:rsidP="008D14D5">
      <w:pPr>
        <w:spacing w:after="0" w:line="240" w:lineRule="auto"/>
        <w:rPr>
          <w:rFonts w:ascii="Arial" w:eastAsia="Calibri" w:hAnsi="Arial" w:cs="Arial"/>
          <w:b/>
          <w:bCs/>
          <w:iCs/>
          <w:color w:val="000000"/>
          <w:sz w:val="24"/>
          <w:szCs w:val="24"/>
        </w:rPr>
      </w:pPr>
    </w:p>
    <w:p w:rsidR="008D14D5" w:rsidRPr="002E3A26" w:rsidRDefault="008D14D5" w:rsidP="008D14D5">
      <w:pPr>
        <w:spacing w:after="0" w:line="240" w:lineRule="auto"/>
        <w:rPr>
          <w:rFonts w:ascii="Arial" w:eastAsia="Calibri" w:hAnsi="Arial" w:cs="Arial"/>
          <w:b/>
          <w:bCs/>
          <w:iCs/>
          <w:color w:val="000000"/>
          <w:sz w:val="24"/>
          <w:szCs w:val="24"/>
        </w:rPr>
      </w:pPr>
    </w:p>
    <w:p w:rsidR="008D14D5" w:rsidRDefault="008D14D5" w:rsidP="008D14D5">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sidRPr="002E3A26">
        <w:rPr>
          <w:rFonts w:ascii="Arial" w:hAnsi="Arial" w:cs="Arial"/>
          <w:color w:val="000000"/>
          <w:sz w:val="24"/>
          <w:szCs w:val="24"/>
          <w:lang w:eastAsia="es-MX"/>
        </w:rPr>
        <w:t xml:space="preserve"> </w:t>
      </w:r>
      <w:r w:rsidRPr="00491134">
        <w:rPr>
          <w:rFonts w:ascii="Arial" w:hAnsi="Arial" w:cs="Arial"/>
          <w:b/>
          <w:color w:val="000000"/>
          <w:sz w:val="24"/>
          <w:szCs w:val="24"/>
          <w:lang w:eastAsia="es-MX"/>
        </w:rPr>
        <w:t>ALEJANDRO</w:t>
      </w:r>
      <w:r>
        <w:rPr>
          <w:rFonts w:ascii="Arial" w:hAnsi="Arial" w:cs="Arial"/>
          <w:color w:val="000000"/>
          <w:sz w:val="24"/>
          <w:szCs w:val="24"/>
          <w:lang w:eastAsia="es-MX"/>
        </w:rPr>
        <w:t xml:space="preserve"> </w:t>
      </w:r>
      <w:r>
        <w:rPr>
          <w:rFonts w:ascii="Arial" w:hAnsi="Arial" w:cs="Arial"/>
          <w:b/>
          <w:color w:val="000000"/>
          <w:sz w:val="24"/>
          <w:szCs w:val="24"/>
          <w:lang w:eastAsia="es-MX"/>
        </w:rPr>
        <w:t>BARRAGÁN SÁNCHEZ</w:t>
      </w:r>
      <w:r>
        <w:rPr>
          <w:rFonts w:ascii="Arial" w:hAnsi="Arial" w:cs="Arial"/>
          <w:color w:val="000000"/>
          <w:sz w:val="24"/>
          <w:szCs w:val="24"/>
          <w:lang w:eastAsia="es-MX"/>
        </w:rPr>
        <w:t xml:space="preserve"> </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TURNA A LA COMISIÓN EDILICIA PERMANENTE DE HACIENDA PÚBLICA Y PATRIMONIO MUNICIPAL EL MANUAL PARA EL MANEJO DE FONDOS FIJOS REVOLVENTES ASIGNADOS A LAS DEPENDENCIAS DEL GOBIERNO MUNICIPAL PARA EL EJERCICIO FISCAL 2023</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8D14D5" w:rsidRDefault="008D14D5" w:rsidP="008D14D5">
      <w:pPr>
        <w:spacing w:after="0" w:line="240" w:lineRule="auto"/>
        <w:ind w:firstLine="708"/>
        <w:jc w:val="both"/>
        <w:rPr>
          <w:rFonts w:ascii="Arial" w:hAnsi="Arial" w:cs="Arial"/>
          <w:b/>
          <w:iCs/>
          <w:color w:val="000000"/>
          <w:sz w:val="24"/>
          <w:szCs w:val="24"/>
          <w:lang w:eastAsia="es-MX"/>
        </w:rPr>
      </w:pPr>
    </w:p>
    <w:p w:rsidR="00AA16D4" w:rsidRDefault="00AA16D4" w:rsidP="008D14D5">
      <w:pPr>
        <w:spacing w:after="0" w:line="240" w:lineRule="auto"/>
        <w:ind w:firstLine="708"/>
        <w:jc w:val="both"/>
        <w:rPr>
          <w:rFonts w:ascii="Arial" w:hAnsi="Arial" w:cs="Arial"/>
          <w:b/>
          <w:iCs/>
          <w:color w:val="000000"/>
          <w:sz w:val="24"/>
          <w:szCs w:val="24"/>
          <w:lang w:eastAsia="es-MX"/>
        </w:rPr>
      </w:pPr>
    </w:p>
    <w:p w:rsidR="008D14D5" w:rsidRDefault="008D14D5" w:rsidP="008D14D5">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8D14D5" w:rsidRDefault="008D14D5" w:rsidP="008D14D5">
      <w:pPr>
        <w:spacing w:after="0" w:line="240" w:lineRule="auto"/>
        <w:jc w:val="both"/>
        <w:rPr>
          <w:rFonts w:ascii="Arial" w:hAnsi="Arial" w:cs="Arial"/>
          <w:b/>
          <w:bCs/>
          <w:iCs/>
          <w:color w:val="000000"/>
          <w:sz w:val="24"/>
          <w:szCs w:val="24"/>
          <w:lang w:eastAsia="es-MX"/>
        </w:rPr>
      </w:pPr>
    </w:p>
    <w:p w:rsidR="00AA16D4" w:rsidRDefault="00AA16D4" w:rsidP="008D14D5">
      <w:pPr>
        <w:spacing w:after="0" w:line="240" w:lineRule="auto"/>
        <w:jc w:val="both"/>
        <w:rPr>
          <w:rFonts w:ascii="Arial" w:hAnsi="Arial" w:cs="Arial"/>
          <w:b/>
          <w:bCs/>
          <w:iCs/>
          <w:color w:val="000000"/>
          <w:sz w:val="24"/>
          <w:szCs w:val="24"/>
          <w:lang w:eastAsia="es-MX"/>
        </w:rPr>
      </w:pPr>
    </w:p>
    <w:p w:rsidR="008D14D5" w:rsidRPr="00D92B0F" w:rsidRDefault="008D14D5" w:rsidP="008D14D5">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8D14D5" w:rsidRPr="00A64B42" w:rsidRDefault="008D14D5" w:rsidP="008D14D5">
      <w:pPr>
        <w:pStyle w:val="Prrafodelista"/>
        <w:spacing w:after="0" w:line="240" w:lineRule="auto"/>
        <w:ind w:left="780"/>
        <w:jc w:val="both"/>
        <w:rPr>
          <w:rFonts w:ascii="Arial" w:eastAsia="Calibri" w:hAnsi="Arial" w:cs="Arial"/>
          <w:sz w:val="24"/>
          <w:szCs w:val="24"/>
        </w:rPr>
      </w:pPr>
    </w:p>
    <w:p w:rsidR="008D14D5" w:rsidRPr="00D92B0F" w:rsidRDefault="008D14D5" w:rsidP="008D14D5">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8D14D5" w:rsidRPr="00A64B42" w:rsidRDefault="008D14D5" w:rsidP="008D14D5">
      <w:pPr>
        <w:pStyle w:val="Prrafodelista"/>
        <w:rPr>
          <w:rFonts w:ascii="Arial" w:eastAsia="Calibri" w:hAnsi="Arial" w:cs="Arial"/>
          <w:sz w:val="24"/>
          <w:szCs w:val="24"/>
        </w:rPr>
      </w:pPr>
    </w:p>
    <w:p w:rsidR="008D14D5" w:rsidRDefault="008D14D5" w:rsidP="008D14D5">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lastRenderedPageBreak/>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8D14D5" w:rsidRDefault="008D14D5" w:rsidP="008D14D5">
      <w:pPr>
        <w:spacing w:after="0" w:line="240" w:lineRule="auto"/>
        <w:ind w:firstLine="708"/>
        <w:jc w:val="both"/>
        <w:rPr>
          <w:rFonts w:ascii="Arial" w:eastAsia="Calibri" w:hAnsi="Arial" w:cs="Arial"/>
          <w:iCs/>
          <w:sz w:val="24"/>
          <w:szCs w:val="24"/>
        </w:rPr>
      </w:pPr>
    </w:p>
    <w:p w:rsidR="008D14D5" w:rsidRDefault="008D14D5" w:rsidP="008D14D5">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8D14D5" w:rsidRDefault="008D14D5" w:rsidP="008D14D5">
      <w:pPr>
        <w:pStyle w:val="Sinespaciado"/>
        <w:jc w:val="both"/>
        <w:rPr>
          <w:rFonts w:ascii="Arial" w:hAnsi="Arial" w:cs="Arial"/>
        </w:rPr>
      </w:pPr>
    </w:p>
    <w:p w:rsidR="003A277B" w:rsidRDefault="008D14D5" w:rsidP="008D14D5">
      <w:pPr>
        <w:pStyle w:val="Sinespaciado"/>
        <w:jc w:val="both"/>
        <w:rPr>
          <w:rFonts w:ascii="Arial" w:hAnsi="Arial" w:cs="Arial"/>
        </w:rPr>
      </w:pPr>
      <w:r>
        <w:rPr>
          <w:rFonts w:ascii="Arial" w:hAnsi="Arial" w:cs="Arial"/>
        </w:rPr>
        <w:tab/>
      </w:r>
      <w:r w:rsidRPr="00B84304">
        <w:rPr>
          <w:rFonts w:ascii="Arial" w:hAnsi="Arial" w:cs="Arial"/>
          <w:b/>
        </w:rPr>
        <w:t xml:space="preserve">V.- </w:t>
      </w:r>
      <w:r w:rsidR="003A277B">
        <w:rPr>
          <w:rFonts w:ascii="Arial" w:hAnsi="Arial" w:cs="Arial"/>
        </w:rPr>
        <w:t xml:space="preserve">Que el artículo 46 de la Ley de Compras Gubernamentales, Enajenaciones  y Contratación de Servicios del Estado de Jalisco y sus Municipios refiere: </w:t>
      </w:r>
    </w:p>
    <w:p w:rsidR="003A277B" w:rsidRDefault="003A277B" w:rsidP="008D14D5">
      <w:pPr>
        <w:pStyle w:val="Sinespaciado"/>
        <w:jc w:val="both"/>
        <w:rPr>
          <w:rFonts w:ascii="Arial" w:hAnsi="Arial" w:cs="Arial"/>
        </w:rPr>
      </w:pPr>
    </w:p>
    <w:p w:rsidR="003A277B" w:rsidRPr="003A277B" w:rsidRDefault="003A277B" w:rsidP="003A277B">
      <w:pPr>
        <w:ind w:left="1418" w:right="1134"/>
        <w:jc w:val="both"/>
        <w:rPr>
          <w:rFonts w:ascii="Arial" w:hAnsi="Arial" w:cs="Arial"/>
          <w:i/>
          <w:color w:val="000000"/>
          <w:sz w:val="20"/>
          <w:szCs w:val="20"/>
        </w:rPr>
      </w:pPr>
      <w:r w:rsidRPr="003A277B">
        <w:rPr>
          <w:rFonts w:ascii="Arial" w:hAnsi="Arial"/>
          <w:b/>
          <w:bCs/>
          <w:i/>
          <w:color w:val="000000"/>
          <w:sz w:val="20"/>
          <w:szCs w:val="20"/>
          <w:shd w:val="clear" w:color="auto" w:fill="FFFFFF"/>
        </w:rPr>
        <w:t>Artículo 46.</w:t>
      </w:r>
      <w:r w:rsidRPr="003A277B">
        <w:rPr>
          <w:rFonts w:ascii="Arial" w:hAnsi="Arial" w:cs="Arial"/>
          <w:i/>
          <w:color w:val="000000"/>
          <w:sz w:val="20"/>
          <w:szCs w:val="20"/>
        </w:rPr>
        <w:t> </w:t>
      </w:r>
    </w:p>
    <w:p w:rsidR="003A277B" w:rsidRPr="003A277B" w:rsidRDefault="003A277B" w:rsidP="003A277B">
      <w:pPr>
        <w:pStyle w:val="Prrafodelista"/>
        <w:numPr>
          <w:ilvl w:val="0"/>
          <w:numId w:val="1"/>
        </w:numPr>
        <w:ind w:right="1134"/>
        <w:jc w:val="both"/>
        <w:rPr>
          <w:rFonts w:ascii="Arial" w:hAnsi="Arial" w:cs="Arial"/>
          <w:i/>
          <w:color w:val="000000"/>
          <w:sz w:val="20"/>
          <w:szCs w:val="20"/>
        </w:rPr>
      </w:pPr>
      <w:r w:rsidRPr="003A277B">
        <w:rPr>
          <w:rFonts w:ascii="Arial" w:hAnsi="Arial"/>
          <w:i/>
          <w:color w:val="000000"/>
          <w:sz w:val="20"/>
          <w:szCs w:val="20"/>
          <w:shd w:val="clear" w:color="auto" w:fill="FFFFFF"/>
        </w:rPr>
        <w:t xml:space="preserve">Los entes públicos podrán llevar a cabo compras haciendo uso de sus respectivos fondos </w:t>
      </w:r>
      <w:proofErr w:type="spellStart"/>
      <w:r w:rsidRPr="003A277B">
        <w:rPr>
          <w:rFonts w:ascii="Arial" w:hAnsi="Arial"/>
          <w:i/>
          <w:color w:val="000000"/>
          <w:sz w:val="20"/>
          <w:szCs w:val="20"/>
          <w:shd w:val="clear" w:color="auto" w:fill="FFFFFF"/>
        </w:rPr>
        <w:t>revolventes</w:t>
      </w:r>
      <w:proofErr w:type="spellEnd"/>
      <w:r w:rsidRPr="003A277B">
        <w:rPr>
          <w:rFonts w:ascii="Arial" w:hAnsi="Arial"/>
          <w:i/>
          <w:color w:val="000000"/>
          <w:sz w:val="20"/>
          <w:szCs w:val="20"/>
          <w:shd w:val="clear" w:color="auto" w:fill="FFFFFF"/>
        </w:rPr>
        <w:t>, observando para ello los montos que para tal efecto se establezcan en sus respectivos presupuestos de egresos, y demás normatividad aplicable.</w:t>
      </w:r>
      <w:r w:rsidRPr="003A277B">
        <w:rPr>
          <w:rFonts w:ascii="Arial" w:hAnsi="Arial" w:cs="Arial"/>
          <w:i/>
          <w:color w:val="000000"/>
          <w:sz w:val="20"/>
          <w:szCs w:val="20"/>
        </w:rPr>
        <w:t> </w:t>
      </w:r>
    </w:p>
    <w:p w:rsidR="003A277B" w:rsidRPr="003A277B" w:rsidRDefault="003A277B" w:rsidP="003A277B">
      <w:pPr>
        <w:ind w:left="1418" w:right="1134"/>
        <w:jc w:val="both"/>
        <w:rPr>
          <w:rFonts w:ascii="Arial" w:hAnsi="Arial"/>
          <w:i/>
          <w:sz w:val="20"/>
          <w:szCs w:val="20"/>
        </w:rPr>
      </w:pPr>
    </w:p>
    <w:p w:rsidR="003A277B" w:rsidRPr="003A277B" w:rsidRDefault="003A277B" w:rsidP="003A277B">
      <w:pPr>
        <w:pStyle w:val="Sinespaciado"/>
        <w:ind w:firstLine="708"/>
        <w:jc w:val="both"/>
        <w:rPr>
          <w:rFonts w:ascii="Arial" w:eastAsia="Arial" w:hAnsi="Arial" w:cs="Arial"/>
          <w:iCs/>
        </w:rPr>
      </w:pPr>
      <w:bookmarkStart w:id="0" w:name="_GoBack"/>
      <w:r w:rsidRPr="003A277B">
        <w:rPr>
          <w:rFonts w:ascii="Arial" w:hAnsi="Arial" w:cs="Arial"/>
        </w:rPr>
        <w:t xml:space="preserve">En ese tenor, en la iniciativa del presupuesto de egresos para el ejercicio fiscal 2023 del Municipio de Zapotlán el Grande, Jalisco, se presenta la reingeniería administrativa </w:t>
      </w:r>
      <w:r w:rsidRPr="003A277B">
        <w:rPr>
          <w:rFonts w:ascii="Arial" w:eastAsia="Arial" w:hAnsi="Arial" w:cs="Arial"/>
          <w:iCs/>
        </w:rPr>
        <w:t>Regulación del manejo de Fondos de Resolventes.</w:t>
      </w:r>
    </w:p>
    <w:bookmarkEnd w:id="0"/>
    <w:p w:rsidR="003A277B" w:rsidRDefault="003A277B" w:rsidP="008D14D5">
      <w:pPr>
        <w:pStyle w:val="Sinespaciado"/>
        <w:jc w:val="both"/>
        <w:rPr>
          <w:rFonts w:ascii="Arial" w:hAnsi="Arial" w:cs="Arial"/>
          <w:b/>
        </w:rPr>
      </w:pPr>
    </w:p>
    <w:p w:rsidR="008D14D5" w:rsidRDefault="003A277B" w:rsidP="003A277B">
      <w:pPr>
        <w:pStyle w:val="Sinespaciado"/>
        <w:ind w:firstLine="708"/>
        <w:jc w:val="both"/>
        <w:rPr>
          <w:rFonts w:ascii="Arial" w:hAnsi="Arial" w:cs="Arial"/>
          <w:b/>
        </w:rPr>
      </w:pPr>
      <w:r w:rsidRPr="003A277B">
        <w:rPr>
          <w:rFonts w:ascii="Arial" w:hAnsi="Arial" w:cs="Arial"/>
          <w:b/>
        </w:rPr>
        <w:t xml:space="preserve">VI.- </w:t>
      </w:r>
      <w:r w:rsidR="008D14D5">
        <w:rPr>
          <w:rFonts w:ascii="Arial" w:hAnsi="Arial" w:cs="Arial"/>
        </w:rPr>
        <w:t>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w:t>
      </w:r>
      <w:r w:rsidR="00647DAA">
        <w:rPr>
          <w:rFonts w:ascii="Arial" w:hAnsi="Arial" w:cs="Arial"/>
        </w:rPr>
        <w:t xml:space="preserve">e la ley de Hacienda Municipal. </w:t>
      </w:r>
    </w:p>
    <w:p w:rsidR="008D14D5" w:rsidRDefault="008D14D5" w:rsidP="008D14D5">
      <w:pPr>
        <w:pStyle w:val="Sinespaciado"/>
        <w:jc w:val="both"/>
        <w:rPr>
          <w:rFonts w:ascii="Arial" w:hAnsi="Arial" w:cs="Arial"/>
          <w:b/>
        </w:rPr>
      </w:pPr>
    </w:p>
    <w:p w:rsidR="008D14D5" w:rsidRDefault="008D14D5" w:rsidP="008D14D5">
      <w:pPr>
        <w:pStyle w:val="Sinespaciado"/>
        <w:jc w:val="both"/>
        <w:rPr>
          <w:rFonts w:ascii="Arial" w:hAnsi="Arial" w:cs="Arial"/>
        </w:rPr>
      </w:pPr>
    </w:p>
    <w:p w:rsidR="008D14D5" w:rsidRDefault="008D14D5" w:rsidP="008D14D5">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8D14D5" w:rsidRDefault="008D14D5" w:rsidP="008D14D5">
      <w:pPr>
        <w:pStyle w:val="Sinespaciado"/>
        <w:jc w:val="both"/>
        <w:rPr>
          <w:rFonts w:ascii="Arial" w:hAnsi="Arial" w:cs="Arial"/>
        </w:rPr>
      </w:pPr>
    </w:p>
    <w:p w:rsidR="008D14D5" w:rsidRDefault="008D14D5" w:rsidP="008D14D5">
      <w:pPr>
        <w:pStyle w:val="Sinespaciado"/>
        <w:jc w:val="both"/>
        <w:rPr>
          <w:rFonts w:ascii="Arial" w:hAnsi="Arial" w:cs="Arial"/>
        </w:rPr>
      </w:pPr>
    </w:p>
    <w:p w:rsidR="008D14D5" w:rsidRDefault="008D14D5" w:rsidP="008D14D5">
      <w:pPr>
        <w:pStyle w:val="Sinespaciado"/>
        <w:jc w:val="center"/>
        <w:rPr>
          <w:rFonts w:ascii="Arial" w:hAnsi="Arial" w:cs="Arial"/>
          <w:b/>
        </w:rPr>
      </w:pPr>
      <w:r w:rsidRPr="008B5C46">
        <w:rPr>
          <w:rFonts w:ascii="Arial" w:hAnsi="Arial" w:cs="Arial"/>
          <w:b/>
        </w:rPr>
        <w:t>PUNTOS DE ACUERDO:</w:t>
      </w:r>
    </w:p>
    <w:p w:rsidR="008D14D5" w:rsidRDefault="008D14D5" w:rsidP="008D14D5">
      <w:pPr>
        <w:pStyle w:val="Sinespaciado"/>
        <w:jc w:val="center"/>
        <w:rPr>
          <w:rFonts w:ascii="Arial" w:hAnsi="Arial" w:cs="Arial"/>
          <w:b/>
        </w:rPr>
      </w:pPr>
    </w:p>
    <w:p w:rsidR="008D14D5" w:rsidRDefault="008D14D5" w:rsidP="008D14D5">
      <w:pPr>
        <w:pStyle w:val="Sinespaciado"/>
        <w:jc w:val="both"/>
        <w:rPr>
          <w:rFonts w:ascii="Arial" w:hAnsi="Arial" w:cs="Arial"/>
        </w:rPr>
      </w:pPr>
      <w:r>
        <w:rPr>
          <w:rFonts w:ascii="Arial" w:hAnsi="Arial" w:cs="Arial"/>
          <w:b/>
        </w:rPr>
        <w:tab/>
        <w:t xml:space="preserve">UNICO.- </w:t>
      </w:r>
      <w:r>
        <w:rPr>
          <w:rFonts w:ascii="Arial" w:hAnsi="Arial" w:cs="Arial"/>
        </w:rPr>
        <w:t xml:space="preserve">Se turna la presente iniciativa de acuerdo a la Comisión Edilicia Permanente de Hacienda Pública y Patrimonio Municipal, a efecto de que en uso de las atribuciones y </w:t>
      </w:r>
      <w:r>
        <w:rPr>
          <w:rFonts w:ascii="Arial" w:hAnsi="Arial" w:cs="Arial"/>
        </w:rPr>
        <w:lastRenderedPageBreak/>
        <w:t>facultades que tiene conferidas, estudie, analice, y dictamine respecto del</w:t>
      </w:r>
      <w:r w:rsidR="00647DAA" w:rsidRPr="00647DAA">
        <w:rPr>
          <w:rFonts w:ascii="Arial" w:hAnsi="Arial" w:cs="Arial"/>
          <w:b/>
          <w:iCs/>
          <w:color w:val="000000"/>
          <w:lang w:eastAsia="es-MX"/>
        </w:rPr>
        <w:t xml:space="preserve"> </w:t>
      </w:r>
      <w:r w:rsidR="00647DAA">
        <w:rPr>
          <w:rFonts w:ascii="Arial" w:hAnsi="Arial" w:cs="Arial"/>
          <w:b/>
          <w:iCs/>
          <w:color w:val="000000"/>
          <w:lang w:eastAsia="es-MX"/>
        </w:rPr>
        <w:t xml:space="preserve">INICIATIVA DE ACUERDO </w:t>
      </w:r>
      <w:r w:rsidR="00647DAA" w:rsidRPr="002E3A26">
        <w:rPr>
          <w:rFonts w:ascii="Arial" w:hAnsi="Arial" w:cs="Arial"/>
          <w:b/>
          <w:iCs/>
          <w:color w:val="000000"/>
          <w:lang w:eastAsia="es-MX"/>
        </w:rPr>
        <w:t>QUE</w:t>
      </w:r>
      <w:r w:rsidR="00647DAA">
        <w:rPr>
          <w:rFonts w:ascii="Arial" w:hAnsi="Arial" w:cs="Arial"/>
          <w:b/>
          <w:iCs/>
          <w:color w:val="000000"/>
          <w:lang w:eastAsia="es-MX"/>
        </w:rPr>
        <w:t xml:space="preserve"> TURNA A LA COMISIÓN EDILICIA PERMANENTE DE HACIENDA PÚBLICA Y PATRIMONIO MUNICIPAL EL MANUAL PARA EL MANEJO DE FONDOS FIJOS REVOLVENTES ASIGNADOS A LAS DEPENDENCIAS DEL GOBIERNO MUNICIPAL PARA EL EJERCICIO FISCAL 2023</w:t>
      </w:r>
      <w:r>
        <w:rPr>
          <w:rFonts w:ascii="Arial" w:hAnsi="Arial" w:cs="Arial"/>
        </w:rPr>
        <w:t>, que expide la Hacienda</w:t>
      </w:r>
      <w:r w:rsidR="00647DAA">
        <w:rPr>
          <w:rFonts w:ascii="Arial" w:hAnsi="Arial" w:cs="Arial"/>
        </w:rPr>
        <w:t xml:space="preserve"> Pública </w:t>
      </w:r>
      <w:r>
        <w:rPr>
          <w:rFonts w:ascii="Arial" w:hAnsi="Arial" w:cs="Arial"/>
        </w:rPr>
        <w:t xml:space="preserve"> Municipal</w:t>
      </w:r>
      <w:r w:rsidR="00647DAA">
        <w:rPr>
          <w:rFonts w:ascii="Arial" w:hAnsi="Arial" w:cs="Arial"/>
        </w:rPr>
        <w:t xml:space="preserve">. </w:t>
      </w:r>
    </w:p>
    <w:p w:rsidR="008D14D5" w:rsidRDefault="008D14D5" w:rsidP="008D14D5">
      <w:pPr>
        <w:pStyle w:val="Sinespaciado"/>
        <w:jc w:val="both"/>
        <w:rPr>
          <w:rFonts w:ascii="Arial" w:hAnsi="Arial" w:cs="Arial"/>
        </w:rPr>
      </w:pPr>
    </w:p>
    <w:p w:rsidR="008D14D5" w:rsidRDefault="008D14D5" w:rsidP="008D14D5">
      <w:pPr>
        <w:pStyle w:val="Sinespaciado"/>
        <w:jc w:val="both"/>
        <w:rPr>
          <w:rFonts w:ascii="Arial" w:hAnsi="Arial" w:cs="Arial"/>
        </w:rPr>
      </w:pPr>
    </w:p>
    <w:p w:rsidR="008D14D5" w:rsidRPr="00C6500C" w:rsidRDefault="008D14D5" w:rsidP="008D14D5">
      <w:pPr>
        <w:pStyle w:val="Sinespaciado"/>
        <w:jc w:val="center"/>
        <w:rPr>
          <w:rFonts w:ascii="Arial" w:hAnsi="Arial" w:cs="Arial"/>
          <w:sz w:val="22"/>
          <w:szCs w:val="22"/>
        </w:rPr>
      </w:pPr>
      <w:r w:rsidRPr="00C6500C">
        <w:rPr>
          <w:rFonts w:ascii="Arial" w:hAnsi="Arial" w:cs="Arial"/>
          <w:sz w:val="22"/>
          <w:szCs w:val="22"/>
        </w:rPr>
        <w:t>A T E N T A M E N T E</w:t>
      </w:r>
    </w:p>
    <w:p w:rsidR="008D14D5" w:rsidRPr="00C6500C" w:rsidRDefault="008D14D5" w:rsidP="008D14D5">
      <w:pPr>
        <w:pStyle w:val="Sinespaciado"/>
        <w:jc w:val="center"/>
        <w:rPr>
          <w:rFonts w:ascii="Arial" w:hAnsi="Arial" w:cs="Arial"/>
          <w:sz w:val="22"/>
          <w:szCs w:val="22"/>
        </w:rPr>
      </w:pPr>
      <w:r w:rsidRPr="00C6500C">
        <w:rPr>
          <w:rFonts w:ascii="Arial" w:hAnsi="Arial" w:cs="Arial"/>
          <w:sz w:val="22"/>
          <w:szCs w:val="22"/>
        </w:rPr>
        <w:t xml:space="preserve">“2022, Año de la Atención Integral a Niñas, Niños y Adolescentes con Cáncer en Jalisco” </w:t>
      </w:r>
    </w:p>
    <w:p w:rsidR="008D14D5" w:rsidRPr="00C6500C" w:rsidRDefault="008D14D5" w:rsidP="008D14D5">
      <w:pPr>
        <w:pStyle w:val="Sinespaciado"/>
        <w:jc w:val="center"/>
        <w:rPr>
          <w:rFonts w:ascii="Arial" w:hAnsi="Arial" w:cs="Arial"/>
          <w:sz w:val="22"/>
          <w:szCs w:val="22"/>
        </w:rPr>
      </w:pPr>
      <w:r w:rsidRPr="00C6500C">
        <w:rPr>
          <w:rFonts w:ascii="Arial" w:hAnsi="Arial" w:cs="Arial"/>
          <w:sz w:val="22"/>
          <w:szCs w:val="22"/>
        </w:rPr>
        <w:t>“2022 Año del Cincuenta Aniversario del Instituto Tecnológico de Ciudad Guzmán”.</w:t>
      </w:r>
    </w:p>
    <w:p w:rsidR="008D14D5" w:rsidRPr="00C6500C" w:rsidRDefault="008D14D5" w:rsidP="008D14D5">
      <w:pPr>
        <w:pStyle w:val="Sinespaciado"/>
        <w:jc w:val="center"/>
        <w:rPr>
          <w:rFonts w:ascii="Arial" w:hAnsi="Arial" w:cs="Arial"/>
          <w:sz w:val="22"/>
          <w:szCs w:val="22"/>
        </w:rPr>
      </w:pPr>
      <w:r w:rsidRPr="00C6500C">
        <w:rPr>
          <w:rFonts w:ascii="Arial" w:hAnsi="Arial" w:cs="Arial"/>
          <w:sz w:val="22"/>
          <w:szCs w:val="22"/>
        </w:rPr>
        <w:t>Cd. Guzmán Municipio de Zapotlán el Grande, Jalisco.</w:t>
      </w:r>
    </w:p>
    <w:p w:rsidR="008D14D5" w:rsidRPr="00C6500C" w:rsidRDefault="008D14D5" w:rsidP="008D14D5">
      <w:pPr>
        <w:pStyle w:val="Sinespaciado"/>
        <w:jc w:val="center"/>
        <w:rPr>
          <w:rFonts w:ascii="Arial" w:hAnsi="Arial" w:cs="Arial"/>
          <w:sz w:val="22"/>
          <w:szCs w:val="22"/>
        </w:rPr>
      </w:pPr>
      <w:r>
        <w:rPr>
          <w:rFonts w:ascii="Arial" w:hAnsi="Arial" w:cs="Arial"/>
          <w:sz w:val="22"/>
          <w:szCs w:val="22"/>
        </w:rPr>
        <w:t>A 28</w:t>
      </w:r>
      <w:r w:rsidRPr="00C6500C">
        <w:rPr>
          <w:rFonts w:ascii="Arial" w:hAnsi="Arial" w:cs="Arial"/>
          <w:sz w:val="22"/>
          <w:szCs w:val="22"/>
        </w:rPr>
        <w:t xml:space="preserve"> de </w:t>
      </w:r>
      <w:r>
        <w:rPr>
          <w:rFonts w:ascii="Arial" w:hAnsi="Arial" w:cs="Arial"/>
          <w:sz w:val="22"/>
          <w:szCs w:val="22"/>
        </w:rPr>
        <w:t xml:space="preserve">Noviembre </w:t>
      </w:r>
      <w:r w:rsidRPr="00C6500C">
        <w:rPr>
          <w:rFonts w:ascii="Arial" w:hAnsi="Arial" w:cs="Arial"/>
          <w:sz w:val="22"/>
          <w:szCs w:val="22"/>
        </w:rPr>
        <w:t>de 2022.</w:t>
      </w:r>
    </w:p>
    <w:p w:rsidR="008D14D5" w:rsidRDefault="008D14D5" w:rsidP="008D14D5">
      <w:pPr>
        <w:pStyle w:val="Sinespaciado"/>
        <w:jc w:val="center"/>
        <w:rPr>
          <w:rFonts w:ascii="Arial" w:hAnsi="Arial" w:cs="Arial"/>
        </w:rPr>
      </w:pPr>
    </w:p>
    <w:p w:rsidR="008D14D5" w:rsidRDefault="008D14D5" w:rsidP="008D14D5">
      <w:pPr>
        <w:pStyle w:val="Sinespaciado"/>
        <w:jc w:val="center"/>
        <w:rPr>
          <w:rFonts w:ascii="Arial" w:hAnsi="Arial" w:cs="Arial"/>
        </w:rPr>
      </w:pPr>
    </w:p>
    <w:p w:rsidR="008D14D5" w:rsidRPr="00FC4C66" w:rsidRDefault="008D14D5" w:rsidP="008D14D5">
      <w:pPr>
        <w:pStyle w:val="Sinespaciado"/>
        <w:jc w:val="center"/>
        <w:rPr>
          <w:rFonts w:ascii="Arial" w:hAnsi="Arial" w:cs="Arial"/>
          <w:b/>
        </w:rPr>
      </w:pPr>
      <w:r w:rsidRPr="00FC4C66">
        <w:rPr>
          <w:rFonts w:ascii="Arial" w:hAnsi="Arial" w:cs="Arial"/>
          <w:b/>
        </w:rPr>
        <w:t>C. ALEJANDRO BARRAGÁN SÁNCHEZ.</w:t>
      </w:r>
    </w:p>
    <w:p w:rsidR="008D14D5" w:rsidRDefault="008D14D5" w:rsidP="008D14D5">
      <w:pPr>
        <w:pStyle w:val="Sinespaciado"/>
        <w:jc w:val="center"/>
        <w:rPr>
          <w:rFonts w:ascii="Arial" w:hAnsi="Arial" w:cs="Arial"/>
        </w:rPr>
      </w:pPr>
      <w:r>
        <w:rPr>
          <w:rFonts w:ascii="Arial" w:hAnsi="Arial" w:cs="Arial"/>
        </w:rPr>
        <w:t xml:space="preserve">Presidente Municipal.  </w:t>
      </w:r>
    </w:p>
    <w:p w:rsidR="008D14D5" w:rsidRPr="00DA5151" w:rsidRDefault="008D14D5" w:rsidP="008D14D5">
      <w:pPr>
        <w:pStyle w:val="Sinespaciado"/>
        <w:jc w:val="both"/>
        <w:rPr>
          <w:rFonts w:ascii="Arial" w:hAnsi="Arial" w:cs="Arial"/>
          <w:sz w:val="16"/>
          <w:szCs w:val="16"/>
        </w:rPr>
      </w:pPr>
      <w:r>
        <w:rPr>
          <w:rFonts w:ascii="Arial" w:hAnsi="Arial" w:cs="Arial"/>
          <w:sz w:val="16"/>
          <w:szCs w:val="16"/>
        </w:rPr>
        <w:t>*ABS/</w:t>
      </w:r>
      <w:proofErr w:type="spellStart"/>
      <w:r>
        <w:rPr>
          <w:rFonts w:ascii="Arial" w:hAnsi="Arial" w:cs="Arial"/>
          <w:sz w:val="16"/>
          <w:szCs w:val="16"/>
        </w:rPr>
        <w:t>mgpa</w:t>
      </w:r>
      <w:proofErr w:type="spellEnd"/>
      <w:r>
        <w:rPr>
          <w:rFonts w:ascii="Arial" w:hAnsi="Arial" w:cs="Arial"/>
          <w:sz w:val="16"/>
          <w:szCs w:val="16"/>
        </w:rPr>
        <w:t xml:space="preserve">. Jurídico. </w:t>
      </w:r>
    </w:p>
    <w:p w:rsidR="008D14D5" w:rsidRDefault="008D14D5" w:rsidP="008D14D5">
      <w:pPr>
        <w:pStyle w:val="Sinespaciado"/>
        <w:jc w:val="center"/>
        <w:rPr>
          <w:rFonts w:ascii="Arial" w:hAnsi="Arial" w:cs="Arial"/>
        </w:rPr>
      </w:pPr>
    </w:p>
    <w:p w:rsidR="008D14D5" w:rsidRDefault="008D14D5" w:rsidP="008D14D5"/>
    <w:p w:rsidR="008D14D5" w:rsidRDefault="008D14D5" w:rsidP="008D14D5"/>
    <w:p w:rsidR="008D14D5" w:rsidRDefault="008D14D5" w:rsidP="008D14D5"/>
    <w:p w:rsidR="009A5B78" w:rsidRDefault="00CF06AF"/>
    <w:sectPr w:rsidR="009A5B78" w:rsidSect="00ED263F">
      <w:footerReference w:type="default" r:id="rId7"/>
      <w:pgSz w:w="12240" w:h="15840"/>
      <w:pgMar w:top="2127" w:right="90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AF" w:rsidRDefault="00CF06AF">
      <w:pPr>
        <w:spacing w:after="0" w:line="240" w:lineRule="auto"/>
      </w:pPr>
      <w:r>
        <w:separator/>
      </w:r>
    </w:p>
  </w:endnote>
  <w:endnote w:type="continuationSeparator" w:id="0">
    <w:p w:rsidR="00CF06AF" w:rsidRDefault="00CF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66638"/>
      <w:docPartObj>
        <w:docPartGallery w:val="Page Numbers (Bottom of Page)"/>
        <w:docPartUnique/>
      </w:docPartObj>
    </w:sdtPr>
    <w:sdtEndPr/>
    <w:sdtContent>
      <w:p w:rsidR="00ED263F" w:rsidRDefault="00647DAA">
        <w:pPr>
          <w:pStyle w:val="Piedepgina"/>
          <w:jc w:val="right"/>
        </w:pPr>
        <w:r>
          <w:fldChar w:fldCharType="begin"/>
        </w:r>
        <w:r>
          <w:instrText>PAGE   \* MERGEFORMAT</w:instrText>
        </w:r>
        <w:r>
          <w:fldChar w:fldCharType="separate"/>
        </w:r>
        <w:r w:rsidR="00E90640" w:rsidRPr="00E90640">
          <w:rPr>
            <w:noProof/>
            <w:lang w:val="es-ES"/>
          </w:rPr>
          <w:t>3</w:t>
        </w:r>
        <w:r>
          <w:fldChar w:fldCharType="end"/>
        </w:r>
      </w:p>
    </w:sdtContent>
  </w:sdt>
  <w:p w:rsidR="00ED263F" w:rsidRDefault="00CF06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AF" w:rsidRDefault="00CF06AF">
      <w:pPr>
        <w:spacing w:after="0" w:line="240" w:lineRule="auto"/>
      </w:pPr>
      <w:r>
        <w:separator/>
      </w:r>
    </w:p>
  </w:footnote>
  <w:footnote w:type="continuationSeparator" w:id="0">
    <w:p w:rsidR="00CF06AF" w:rsidRDefault="00CF0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E4EE5"/>
    <w:multiLevelType w:val="hybridMultilevel"/>
    <w:tmpl w:val="1C984ED0"/>
    <w:lvl w:ilvl="0" w:tplc="080A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71E51C46"/>
    <w:multiLevelType w:val="hybridMultilevel"/>
    <w:tmpl w:val="7444CD7A"/>
    <w:lvl w:ilvl="0" w:tplc="E9F0308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D5"/>
    <w:rsid w:val="003A277B"/>
    <w:rsid w:val="003C2B10"/>
    <w:rsid w:val="00647DAA"/>
    <w:rsid w:val="008D14D5"/>
    <w:rsid w:val="00AA16D4"/>
    <w:rsid w:val="00BA7108"/>
    <w:rsid w:val="00CF06AF"/>
    <w:rsid w:val="00DB5FD7"/>
    <w:rsid w:val="00E90640"/>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48713-6BDC-48F0-832C-FF4DFCE5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14D5"/>
    <w:pPr>
      <w:ind w:left="720"/>
      <w:contextualSpacing/>
    </w:pPr>
  </w:style>
  <w:style w:type="paragraph" w:styleId="Sinespaciado">
    <w:name w:val="No Spacing"/>
    <w:link w:val="SinespaciadoCar"/>
    <w:uiPriority w:val="1"/>
    <w:qFormat/>
    <w:rsid w:val="008D14D5"/>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D14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14D5"/>
  </w:style>
  <w:style w:type="character" w:customStyle="1" w:styleId="SinespaciadoCar">
    <w:name w:val="Sin espaciado Car"/>
    <w:basedOn w:val="Fuentedeprrafopredeter"/>
    <w:link w:val="Sinespaciado"/>
    <w:uiPriority w:val="1"/>
    <w:rsid w:val="008D14D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A16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2022-11-29T17:53:00Z</cp:lastPrinted>
  <dcterms:created xsi:type="dcterms:W3CDTF">2022-11-28T23:53:00Z</dcterms:created>
  <dcterms:modified xsi:type="dcterms:W3CDTF">2022-11-29T18:21:00Z</dcterms:modified>
</cp:coreProperties>
</file>